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35" w:rsidRDefault="002B6635" w:rsidP="00853F0C">
      <w:pPr>
        <w:spacing w:after="0" w:line="240" w:lineRule="auto"/>
        <w:jc w:val="center"/>
        <w:rPr>
          <w:rFonts w:ascii="Times New Roman" w:eastAsia="Times New Roman" w:hAnsi="Times New Roman" w:cs="Times New Roman"/>
          <w:b/>
          <w:sz w:val="28"/>
          <w:szCs w:val="28"/>
          <w:u w:val="single"/>
          <w:lang w:eastAsia="uk-UA"/>
        </w:rPr>
      </w:pPr>
      <w:r w:rsidRPr="002B6635">
        <w:rPr>
          <w:rFonts w:ascii="Times New Roman" w:eastAsia="Times New Roman" w:hAnsi="Times New Roman" w:cs="Times New Roman"/>
          <w:b/>
          <w:sz w:val="28"/>
          <w:szCs w:val="28"/>
          <w:u w:val="single"/>
          <w:lang w:eastAsia="uk-UA"/>
        </w:rPr>
        <w:t>Подання заяви та документів у сфері державної реєстрації прав</w:t>
      </w:r>
    </w:p>
    <w:p w:rsidR="00853F0C" w:rsidRPr="002B6635" w:rsidRDefault="00853F0C" w:rsidP="00853F0C">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p>
    <w:p w:rsidR="002B6635" w:rsidRPr="002B6635" w:rsidRDefault="002B6635" w:rsidP="00853F0C">
      <w:pPr>
        <w:spacing w:after="0" w:line="240" w:lineRule="auto"/>
        <w:jc w:val="both"/>
        <w:rPr>
          <w:rFonts w:ascii="Times New Roman" w:eastAsia="Times New Roman" w:hAnsi="Times New Roman" w:cs="Times New Roman"/>
          <w:sz w:val="28"/>
          <w:szCs w:val="28"/>
          <w:lang w:eastAsia="uk-UA"/>
        </w:rPr>
      </w:pPr>
      <w:bookmarkStart w:id="1" w:name="n1094"/>
      <w:bookmarkStart w:id="2" w:name="n226"/>
      <w:bookmarkEnd w:id="1"/>
      <w:bookmarkEnd w:id="2"/>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r w:rsidRPr="008F0233">
        <w:rPr>
          <w:rFonts w:ascii="Times New Roman" w:eastAsia="Times New Roman" w:hAnsi="Times New Roman" w:cs="Times New Roman"/>
          <w:color w:val="000000" w:themeColor="text1"/>
          <w:sz w:val="28"/>
          <w:szCs w:val="28"/>
          <w:lang w:eastAsia="uk-UA"/>
        </w:rPr>
        <w:t>1. Заява на проведення реєстраційних дій подається заявником у паперовій формі, а у випадках, передбачених законодавством, - в електронній формі разом з оригіналами документів, необхідних для проведення реєстраційних дій, чи їх копіями, засвідченими державними органами, органами місцевого самоврядування (якщо оригінали таких документів відповідно до законодавства залишаються у справах державних органів, органів місцевого самоврядування).</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 w:name="n1095"/>
      <w:bookmarkStart w:id="4" w:name="n1193"/>
      <w:bookmarkEnd w:id="3"/>
      <w:bookmarkEnd w:id="4"/>
      <w:r w:rsidRPr="008F0233">
        <w:rPr>
          <w:rFonts w:ascii="Times New Roman" w:eastAsia="Times New Roman" w:hAnsi="Times New Roman" w:cs="Times New Roman"/>
          <w:color w:val="000000" w:themeColor="text1"/>
          <w:sz w:val="28"/>
          <w:szCs w:val="28"/>
          <w:lang w:eastAsia="uk-UA"/>
        </w:rPr>
        <w:t>Заява на державну реєстрацію спеціального майнового права на об’єкт незавершеного будівництва, майбутній об’єкт нерухомості подається у порядку, визначеному </w:t>
      </w:r>
      <w:hyperlink r:id="rId6" w:anchor="n1225" w:history="1">
        <w:r w:rsidRPr="008F0233">
          <w:rPr>
            <w:rFonts w:ascii="Times New Roman" w:eastAsia="Times New Roman" w:hAnsi="Times New Roman" w:cs="Times New Roman"/>
            <w:color w:val="000000" w:themeColor="text1"/>
            <w:sz w:val="28"/>
            <w:szCs w:val="28"/>
            <w:lang w:eastAsia="uk-UA"/>
          </w:rPr>
          <w:t>статтею 27</w:t>
        </w:r>
      </w:hyperlink>
      <w:hyperlink r:id="rId7" w:anchor="n1225" w:history="1">
        <w:r w:rsidRPr="008F0233">
          <w:rPr>
            <w:rFonts w:ascii="Times New Roman" w:eastAsia="Times New Roman" w:hAnsi="Times New Roman" w:cs="Times New Roman"/>
            <w:b/>
            <w:bCs/>
            <w:color w:val="000000" w:themeColor="text1"/>
            <w:sz w:val="28"/>
            <w:szCs w:val="28"/>
            <w:vertAlign w:val="superscript"/>
            <w:lang w:eastAsia="uk-UA"/>
          </w:rPr>
          <w:t>-2</w:t>
        </w:r>
      </w:hyperlink>
      <w:r w:rsidRPr="008F0233">
        <w:rPr>
          <w:rFonts w:ascii="Times New Roman" w:eastAsia="Times New Roman" w:hAnsi="Times New Roman" w:cs="Times New Roman"/>
          <w:color w:val="000000" w:themeColor="text1"/>
          <w:sz w:val="28"/>
          <w:szCs w:val="28"/>
          <w:lang w:eastAsia="uk-UA"/>
        </w:rPr>
        <w:t> цього Закону.</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 w:name="n1192"/>
      <w:bookmarkStart w:id="6" w:name="n227"/>
      <w:bookmarkEnd w:id="5"/>
      <w:bookmarkEnd w:id="6"/>
      <w:r w:rsidRPr="008F0233">
        <w:rPr>
          <w:rFonts w:ascii="Times New Roman" w:eastAsia="Times New Roman" w:hAnsi="Times New Roman" w:cs="Times New Roman"/>
          <w:color w:val="000000" w:themeColor="text1"/>
          <w:sz w:val="28"/>
          <w:szCs w:val="28"/>
          <w:lang w:eastAsia="uk-UA"/>
        </w:rPr>
        <w:t>Реєстраційні дії за заявою, у якій зазначено відомості про документи, необхідні для проведення таких дій, або за заявою, до якої додано копії відповідних документів, засвідчені підписом заявника, проводяться з урахуванням особливостей, передбачених </w:t>
      </w:r>
      <w:hyperlink r:id="rId8" w:tgtFrame="_blank" w:history="1">
        <w:r w:rsidRPr="008F0233">
          <w:rPr>
            <w:rFonts w:ascii="Times New Roman" w:eastAsia="Times New Roman" w:hAnsi="Times New Roman" w:cs="Times New Roman"/>
            <w:color w:val="000000" w:themeColor="text1"/>
            <w:sz w:val="28"/>
            <w:szCs w:val="28"/>
            <w:lang w:eastAsia="uk-UA"/>
          </w:rPr>
          <w:t>Законом України</w:t>
        </w:r>
      </w:hyperlink>
      <w:r w:rsidRPr="008F0233">
        <w:rPr>
          <w:rFonts w:ascii="Times New Roman" w:eastAsia="Times New Roman" w:hAnsi="Times New Roman" w:cs="Times New Roman"/>
          <w:color w:val="000000" w:themeColor="text1"/>
          <w:sz w:val="28"/>
          <w:szCs w:val="28"/>
          <w:lang w:eastAsia="uk-UA"/>
        </w:rPr>
        <w:t> "Про особливості надання публічних (електронних публічних) послуг".</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 w:name="n1096"/>
      <w:bookmarkStart w:id="8" w:name="n228"/>
      <w:bookmarkEnd w:id="7"/>
      <w:bookmarkEnd w:id="8"/>
      <w:r w:rsidRPr="008F0233">
        <w:rPr>
          <w:rFonts w:ascii="Times New Roman" w:eastAsia="Times New Roman" w:hAnsi="Times New Roman" w:cs="Times New Roman"/>
          <w:color w:val="000000" w:themeColor="text1"/>
          <w:sz w:val="28"/>
          <w:szCs w:val="28"/>
          <w:lang w:eastAsia="uk-UA"/>
        </w:rPr>
        <w:t>Заява на проведення реєстраційних дій у паперовій формі подається за умови встановлення особи заявника. Встановлення особи громадянина України здійснюється за паспортом громадянина України або за іншим документом, що посвідчує особу, передбаченим </w:t>
      </w:r>
      <w:hyperlink r:id="rId9" w:tgtFrame="_blank" w:history="1">
        <w:r w:rsidRPr="008F0233">
          <w:rPr>
            <w:rFonts w:ascii="Times New Roman" w:eastAsia="Times New Roman" w:hAnsi="Times New Roman" w:cs="Times New Roman"/>
            <w:color w:val="000000" w:themeColor="text1"/>
            <w:sz w:val="28"/>
            <w:szCs w:val="28"/>
            <w:lang w:eastAsia="uk-UA"/>
          </w:rPr>
          <w:t>Законом України</w:t>
        </w:r>
      </w:hyperlink>
      <w:r w:rsidRPr="008F0233">
        <w:rPr>
          <w:rFonts w:ascii="Times New Roman" w:eastAsia="Times New Roman" w:hAnsi="Times New Roman" w:cs="Times New Roman"/>
          <w:color w:val="000000" w:themeColor="text1"/>
          <w:sz w:val="28"/>
          <w:szCs w:val="28"/>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 w:name="n572"/>
      <w:bookmarkEnd w:id="9"/>
      <w:r w:rsidRPr="008F0233">
        <w:rPr>
          <w:rFonts w:ascii="Times New Roman" w:eastAsia="Times New Roman" w:hAnsi="Times New Roman" w:cs="Times New Roman"/>
          <w:color w:val="000000" w:themeColor="text1"/>
          <w:sz w:val="28"/>
          <w:szCs w:val="28"/>
          <w:lang w:eastAsia="uk-UA"/>
        </w:rPr>
        <w:t>Особа іноземця або особи без громадянства встановлюється за національним, дипломатичним чи службовим паспортом іноземця або іншим документом, що посвідчує особу іноземця або особи без громадянства.</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0" w:name="n573"/>
      <w:bookmarkEnd w:id="10"/>
      <w:r w:rsidRPr="008F0233">
        <w:rPr>
          <w:rFonts w:ascii="Times New Roman" w:eastAsia="Times New Roman" w:hAnsi="Times New Roman" w:cs="Times New Roman"/>
          <w:color w:val="000000" w:themeColor="text1"/>
          <w:sz w:val="28"/>
          <w:szCs w:val="28"/>
          <w:lang w:eastAsia="uk-UA"/>
        </w:rPr>
        <w:t>Заява на проведення реєстраційних дій в електронній формі подається заявником з накладанням кваліфікованого електронного підпису відповідно до вимог </w:t>
      </w:r>
      <w:hyperlink r:id="rId10" w:tgtFrame="_blank" w:history="1">
        <w:r w:rsidRPr="008F0233">
          <w:rPr>
            <w:rFonts w:ascii="Times New Roman" w:eastAsia="Times New Roman" w:hAnsi="Times New Roman" w:cs="Times New Roman"/>
            <w:color w:val="000000" w:themeColor="text1"/>
            <w:sz w:val="28"/>
            <w:szCs w:val="28"/>
            <w:lang w:eastAsia="uk-UA"/>
          </w:rPr>
          <w:t>Закону України</w:t>
        </w:r>
      </w:hyperlink>
      <w:r w:rsidRPr="008F0233">
        <w:rPr>
          <w:rFonts w:ascii="Times New Roman" w:eastAsia="Times New Roman" w:hAnsi="Times New Roman" w:cs="Times New Roman"/>
          <w:color w:val="000000" w:themeColor="text1"/>
          <w:sz w:val="28"/>
          <w:szCs w:val="28"/>
          <w:lang w:eastAsia="uk-UA"/>
        </w:rPr>
        <w:t> "Про електронну ідентифікацію та електронні довірчі послуги".</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1" w:name="n1310"/>
      <w:bookmarkStart w:id="12" w:name="n755"/>
      <w:bookmarkEnd w:id="11"/>
      <w:bookmarkEnd w:id="12"/>
      <w:r w:rsidRPr="008F0233">
        <w:rPr>
          <w:rFonts w:ascii="Times New Roman" w:eastAsia="Times New Roman" w:hAnsi="Times New Roman" w:cs="Times New Roman"/>
          <w:color w:val="000000" w:themeColor="text1"/>
          <w:sz w:val="28"/>
          <w:szCs w:val="28"/>
          <w:lang w:eastAsia="uk-UA"/>
        </w:rPr>
        <w:t>У разі подання заяви уповноваженою на те особою державним реєстратором встановлюється обсяг повноважень такої особи на підставі документа, що підтверджує її повноваження діяти від імені іншої особи.</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3" w:name="n756"/>
      <w:bookmarkEnd w:id="13"/>
      <w:r w:rsidRPr="008F0233">
        <w:rPr>
          <w:rFonts w:ascii="Times New Roman" w:eastAsia="Times New Roman" w:hAnsi="Times New Roman" w:cs="Times New Roman"/>
          <w:color w:val="000000" w:themeColor="text1"/>
          <w:sz w:val="28"/>
          <w:szCs w:val="28"/>
          <w:lang w:eastAsia="uk-UA"/>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(крім проведення реєстраційних дій за заявою уповноваженої особи державного органу, органу місцевого самоврядування), довіреність, видана відповідно до законодавства іноземної держави, або відомості з Єдиного державного реєстру юридичних осіб, фізичних осіб - підприємців та громадських формувань про особу, яка уповноважена діяти від імені юридичної особи.</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4" w:name="n1015"/>
      <w:bookmarkStart w:id="15" w:name="n757"/>
      <w:bookmarkEnd w:id="14"/>
      <w:bookmarkEnd w:id="15"/>
      <w:r w:rsidRPr="008F0233">
        <w:rPr>
          <w:rFonts w:ascii="Times New Roman" w:eastAsia="Times New Roman" w:hAnsi="Times New Roman" w:cs="Times New Roman"/>
          <w:color w:val="000000" w:themeColor="text1"/>
          <w:sz w:val="28"/>
          <w:szCs w:val="28"/>
          <w:lang w:eastAsia="uk-UA"/>
        </w:rPr>
        <w:lastRenderedPageBreak/>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 w:name="n758"/>
      <w:bookmarkEnd w:id="16"/>
      <w:r w:rsidRPr="008F0233">
        <w:rPr>
          <w:rFonts w:ascii="Times New Roman" w:eastAsia="Times New Roman" w:hAnsi="Times New Roman" w:cs="Times New Roman"/>
          <w:color w:val="000000" w:themeColor="text1"/>
          <w:sz w:val="28"/>
          <w:szCs w:val="28"/>
          <w:lang w:eastAsia="uk-UA"/>
        </w:rPr>
        <w:t xml:space="preserve">Про подання/отримання заяви на проведення реєстраційних дій державний реєстратор за допомогою програмних засобів ведення Державного реєстру прав невідкладно повідомляє власника об’єкта нерухомого майна, щодо якого подано заяву, а також відповідного користувача, </w:t>
      </w:r>
      <w:proofErr w:type="spellStart"/>
      <w:r w:rsidRPr="008F0233">
        <w:rPr>
          <w:rFonts w:ascii="Times New Roman" w:eastAsia="Times New Roman" w:hAnsi="Times New Roman" w:cs="Times New Roman"/>
          <w:color w:val="000000" w:themeColor="text1"/>
          <w:sz w:val="28"/>
          <w:szCs w:val="28"/>
          <w:lang w:eastAsia="uk-UA"/>
        </w:rPr>
        <w:t>обтяжувача</w:t>
      </w:r>
      <w:proofErr w:type="spellEnd"/>
      <w:r w:rsidRPr="008F0233">
        <w:rPr>
          <w:rFonts w:ascii="Times New Roman" w:eastAsia="Times New Roman" w:hAnsi="Times New Roman" w:cs="Times New Roman"/>
          <w:color w:val="000000" w:themeColor="text1"/>
          <w:sz w:val="28"/>
          <w:szCs w:val="28"/>
          <w:lang w:eastAsia="uk-UA"/>
        </w:rPr>
        <w:t>.</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7" w:name="n759"/>
      <w:bookmarkEnd w:id="17"/>
      <w:r w:rsidRPr="008F0233">
        <w:rPr>
          <w:rFonts w:ascii="Times New Roman" w:eastAsia="Times New Roman" w:hAnsi="Times New Roman" w:cs="Times New Roman"/>
          <w:color w:val="000000" w:themeColor="text1"/>
          <w:sz w:val="28"/>
          <w:szCs w:val="28"/>
          <w:lang w:eastAsia="uk-UA"/>
        </w:rPr>
        <w:t xml:space="preserve">Порядок подання заяв у сфері державної реєстрації прав та повідомлення власника об’єкта нерухомого майна, а також відповідного користувача, </w:t>
      </w:r>
      <w:proofErr w:type="spellStart"/>
      <w:r w:rsidRPr="008F0233">
        <w:rPr>
          <w:rFonts w:ascii="Times New Roman" w:eastAsia="Times New Roman" w:hAnsi="Times New Roman" w:cs="Times New Roman"/>
          <w:color w:val="000000" w:themeColor="text1"/>
          <w:sz w:val="28"/>
          <w:szCs w:val="28"/>
          <w:lang w:eastAsia="uk-UA"/>
        </w:rPr>
        <w:t>обтяжувача</w:t>
      </w:r>
      <w:proofErr w:type="spellEnd"/>
      <w:r w:rsidRPr="008F0233">
        <w:rPr>
          <w:rFonts w:ascii="Times New Roman" w:eastAsia="Times New Roman" w:hAnsi="Times New Roman" w:cs="Times New Roman"/>
          <w:color w:val="000000" w:themeColor="text1"/>
          <w:sz w:val="28"/>
          <w:szCs w:val="28"/>
          <w:lang w:eastAsia="uk-UA"/>
        </w:rPr>
        <w:t xml:space="preserve"> про подані заяви визначається Кабінетом Міністрів України у </w:t>
      </w:r>
      <w:hyperlink r:id="rId11" w:anchor="n23" w:tgtFrame="_blank" w:history="1">
        <w:r w:rsidRPr="008F0233">
          <w:rPr>
            <w:rFonts w:ascii="Times New Roman" w:eastAsia="Times New Roman" w:hAnsi="Times New Roman" w:cs="Times New Roman"/>
            <w:color w:val="000000" w:themeColor="text1"/>
            <w:sz w:val="28"/>
            <w:szCs w:val="28"/>
            <w:lang w:eastAsia="uk-UA"/>
          </w:rPr>
          <w:t>Порядку державної реєстрації прав на нерухоме майно та їх обтяжень</w:t>
        </w:r>
      </w:hyperlink>
      <w:r w:rsidRPr="008F0233">
        <w:rPr>
          <w:rFonts w:ascii="Times New Roman" w:eastAsia="Times New Roman" w:hAnsi="Times New Roman" w:cs="Times New Roman"/>
          <w:color w:val="000000" w:themeColor="text1"/>
          <w:sz w:val="28"/>
          <w:szCs w:val="28"/>
          <w:lang w:eastAsia="uk-UA"/>
        </w:rPr>
        <w:t>.</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8" w:name="n571"/>
      <w:bookmarkStart w:id="19" w:name="n231"/>
      <w:bookmarkEnd w:id="18"/>
      <w:bookmarkEnd w:id="19"/>
      <w:r w:rsidRPr="008F0233">
        <w:rPr>
          <w:rFonts w:ascii="Times New Roman" w:eastAsia="Times New Roman" w:hAnsi="Times New Roman" w:cs="Times New Roman"/>
          <w:color w:val="000000" w:themeColor="text1"/>
          <w:sz w:val="28"/>
          <w:szCs w:val="28"/>
          <w:lang w:eastAsia="uk-UA"/>
        </w:rPr>
        <w:t>4. Заява про проведення реєстраційних дій, надання інформації з Державного реєстру прав не підлягає розгляду в разі:</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0" w:name="n1427"/>
      <w:bookmarkStart w:id="21" w:name="n830"/>
      <w:bookmarkStart w:id="22" w:name="n831"/>
      <w:bookmarkEnd w:id="20"/>
      <w:bookmarkEnd w:id="21"/>
      <w:bookmarkEnd w:id="22"/>
      <w:r w:rsidRPr="008F0233">
        <w:rPr>
          <w:rFonts w:ascii="Times New Roman" w:eastAsia="Times New Roman" w:hAnsi="Times New Roman" w:cs="Times New Roman"/>
          <w:color w:val="000000" w:themeColor="text1"/>
          <w:sz w:val="28"/>
          <w:szCs w:val="28"/>
          <w:lang w:eastAsia="uk-UA"/>
        </w:rPr>
        <w:t>2) неможливості встановлення особи заявника чи обсягу його повноважень на подання відповідної заяви;</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3" w:name="n1428"/>
      <w:bookmarkStart w:id="24" w:name="n832"/>
      <w:bookmarkEnd w:id="23"/>
      <w:bookmarkEnd w:id="24"/>
      <w:r w:rsidRPr="008F0233">
        <w:rPr>
          <w:rFonts w:ascii="Times New Roman" w:eastAsia="Times New Roman" w:hAnsi="Times New Roman" w:cs="Times New Roman"/>
          <w:color w:val="000000" w:themeColor="text1"/>
          <w:sz w:val="28"/>
          <w:szCs w:val="28"/>
          <w:lang w:eastAsia="uk-UA"/>
        </w:rPr>
        <w:t>3) відсутності в Державному земельному кадастрі відомостей про земельну ділянку (у разі державної реєстрації прав на земельну ділянку).</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5" w:name="n575"/>
      <w:bookmarkStart w:id="26" w:name="n232"/>
      <w:bookmarkEnd w:id="25"/>
      <w:bookmarkEnd w:id="26"/>
      <w:r w:rsidRPr="008F0233">
        <w:rPr>
          <w:rFonts w:ascii="Times New Roman" w:eastAsia="Times New Roman" w:hAnsi="Times New Roman" w:cs="Times New Roman"/>
          <w:color w:val="000000" w:themeColor="text1"/>
          <w:sz w:val="28"/>
          <w:szCs w:val="28"/>
          <w:lang w:eastAsia="uk-UA"/>
        </w:rPr>
        <w:t>5. У разі подання заяви про проведення реєстраційних дій у паперовій формі така заява формується, реєструється у базі даних заяв із зазначенням дати і часу реєстрації та скріплюється особистим підписом заявника, крім випадків, передбачених </w:t>
      </w:r>
      <w:hyperlink r:id="rId12" w:anchor="n1225" w:history="1">
        <w:r w:rsidRPr="008F0233">
          <w:rPr>
            <w:rFonts w:ascii="Times New Roman" w:eastAsia="Times New Roman" w:hAnsi="Times New Roman" w:cs="Times New Roman"/>
            <w:color w:val="000000" w:themeColor="text1"/>
            <w:sz w:val="28"/>
            <w:szCs w:val="28"/>
            <w:lang w:eastAsia="uk-UA"/>
          </w:rPr>
          <w:t>статтями 27</w:t>
        </w:r>
      </w:hyperlink>
      <w:hyperlink r:id="rId13" w:anchor="n1225" w:history="1">
        <w:r w:rsidRPr="008F0233">
          <w:rPr>
            <w:rFonts w:ascii="Times New Roman" w:eastAsia="Times New Roman" w:hAnsi="Times New Roman" w:cs="Times New Roman"/>
            <w:b/>
            <w:bCs/>
            <w:color w:val="000000" w:themeColor="text1"/>
            <w:sz w:val="28"/>
            <w:szCs w:val="28"/>
            <w:vertAlign w:val="superscript"/>
            <w:lang w:eastAsia="uk-UA"/>
          </w:rPr>
          <w:t>-2</w:t>
        </w:r>
      </w:hyperlink>
      <w:r w:rsidRPr="008F0233">
        <w:rPr>
          <w:rFonts w:ascii="Times New Roman" w:eastAsia="Times New Roman" w:hAnsi="Times New Roman" w:cs="Times New Roman"/>
          <w:color w:val="000000" w:themeColor="text1"/>
          <w:sz w:val="28"/>
          <w:szCs w:val="28"/>
          <w:lang w:eastAsia="uk-UA"/>
        </w:rPr>
        <w:t>, </w:t>
      </w:r>
      <w:hyperlink r:id="rId14" w:anchor="n1269" w:history="1">
        <w:r w:rsidRPr="008F0233">
          <w:rPr>
            <w:rFonts w:ascii="Times New Roman" w:eastAsia="Times New Roman" w:hAnsi="Times New Roman" w:cs="Times New Roman"/>
            <w:color w:val="000000" w:themeColor="text1"/>
            <w:sz w:val="28"/>
            <w:szCs w:val="28"/>
            <w:lang w:eastAsia="uk-UA"/>
          </w:rPr>
          <w:t>27</w:t>
        </w:r>
      </w:hyperlink>
      <w:hyperlink r:id="rId15" w:anchor="n1269" w:history="1">
        <w:r w:rsidRPr="008F0233">
          <w:rPr>
            <w:rFonts w:ascii="Times New Roman" w:eastAsia="Times New Roman" w:hAnsi="Times New Roman" w:cs="Times New Roman"/>
            <w:b/>
            <w:bCs/>
            <w:color w:val="000000" w:themeColor="text1"/>
            <w:sz w:val="28"/>
            <w:szCs w:val="28"/>
            <w:vertAlign w:val="superscript"/>
            <w:lang w:eastAsia="uk-UA"/>
          </w:rPr>
          <w:t>-3</w:t>
        </w:r>
      </w:hyperlink>
      <w:r w:rsidRPr="008F0233">
        <w:rPr>
          <w:rFonts w:ascii="Times New Roman" w:eastAsia="Times New Roman" w:hAnsi="Times New Roman" w:cs="Times New Roman"/>
          <w:color w:val="000000" w:themeColor="text1"/>
          <w:sz w:val="28"/>
          <w:szCs w:val="28"/>
          <w:lang w:eastAsia="uk-UA"/>
        </w:rPr>
        <w:t>, </w:t>
      </w:r>
      <w:hyperlink r:id="rId16" w:anchor="n764" w:history="1">
        <w:r w:rsidRPr="008F0233">
          <w:rPr>
            <w:rFonts w:ascii="Times New Roman" w:eastAsia="Times New Roman" w:hAnsi="Times New Roman" w:cs="Times New Roman"/>
            <w:color w:val="000000" w:themeColor="text1"/>
            <w:sz w:val="28"/>
            <w:szCs w:val="28"/>
            <w:lang w:eastAsia="uk-UA"/>
          </w:rPr>
          <w:t>31</w:t>
        </w:r>
      </w:hyperlink>
      <w:hyperlink r:id="rId17" w:anchor="n764" w:history="1">
        <w:r w:rsidRPr="008F0233">
          <w:rPr>
            <w:rFonts w:ascii="Times New Roman" w:eastAsia="Times New Roman" w:hAnsi="Times New Roman" w:cs="Times New Roman"/>
            <w:b/>
            <w:bCs/>
            <w:color w:val="000000" w:themeColor="text1"/>
            <w:sz w:val="28"/>
            <w:szCs w:val="28"/>
            <w:vertAlign w:val="superscript"/>
            <w:lang w:eastAsia="uk-UA"/>
          </w:rPr>
          <w:t>-2</w:t>
        </w:r>
      </w:hyperlink>
      <w:r w:rsidRPr="008F0233">
        <w:rPr>
          <w:rFonts w:ascii="Times New Roman" w:eastAsia="Times New Roman" w:hAnsi="Times New Roman" w:cs="Times New Roman"/>
          <w:color w:val="000000" w:themeColor="text1"/>
          <w:sz w:val="28"/>
          <w:szCs w:val="28"/>
          <w:lang w:eastAsia="uk-UA"/>
        </w:rPr>
        <w:t> цього Закону.</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7" w:name="n576"/>
      <w:bookmarkStart w:id="28" w:name="n233"/>
      <w:bookmarkEnd w:id="27"/>
      <w:bookmarkEnd w:id="28"/>
      <w:r w:rsidRPr="008F0233">
        <w:rPr>
          <w:rFonts w:ascii="Times New Roman" w:eastAsia="Times New Roman" w:hAnsi="Times New Roman" w:cs="Times New Roman"/>
          <w:color w:val="000000" w:themeColor="text1"/>
          <w:sz w:val="28"/>
          <w:szCs w:val="28"/>
          <w:lang w:eastAsia="uk-UA"/>
        </w:rPr>
        <w:t>З документів, поданих заявником для проведення реєстраційних дій у паперовій формі, виготовляються електронні копії шляхом сканування, які долучаються до заяви, зареєстрованої у Державному реєстрі прав, та до реєстраційної справи в електронній формі.</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9" w:name="n577"/>
      <w:bookmarkStart w:id="30" w:name="n1098"/>
      <w:bookmarkEnd w:id="29"/>
      <w:bookmarkEnd w:id="30"/>
      <w:r w:rsidRPr="008F0233">
        <w:rPr>
          <w:rFonts w:ascii="Times New Roman" w:eastAsia="Times New Roman" w:hAnsi="Times New Roman" w:cs="Times New Roman"/>
          <w:color w:val="000000" w:themeColor="text1"/>
          <w:sz w:val="28"/>
          <w:szCs w:val="28"/>
          <w:lang w:eastAsia="uk-UA"/>
        </w:rPr>
        <w:t>Якщо у заяві відповідно до </w:t>
      </w:r>
      <w:hyperlink r:id="rId18" w:tgtFrame="_blank" w:history="1">
        <w:r w:rsidRPr="008F0233">
          <w:rPr>
            <w:rFonts w:ascii="Times New Roman" w:eastAsia="Times New Roman" w:hAnsi="Times New Roman" w:cs="Times New Roman"/>
            <w:color w:val="000000" w:themeColor="text1"/>
            <w:sz w:val="28"/>
            <w:szCs w:val="28"/>
            <w:lang w:eastAsia="uk-UA"/>
          </w:rPr>
          <w:t>Закону України</w:t>
        </w:r>
      </w:hyperlink>
      <w:r w:rsidRPr="008F0233">
        <w:rPr>
          <w:rFonts w:ascii="Times New Roman" w:eastAsia="Times New Roman" w:hAnsi="Times New Roman" w:cs="Times New Roman"/>
          <w:color w:val="000000" w:themeColor="text1"/>
          <w:sz w:val="28"/>
          <w:szCs w:val="28"/>
          <w:lang w:eastAsia="uk-UA"/>
        </w:rPr>
        <w:t> "Про особливості надання публічних (електронних публічних) послуг" зазначено відомості про документи, необхідні для проведення реєстраційних дій, або до заяви додано копії відповідних документів, засвідчені підписом заявника, державний реєстратор вчиняє дії, передбачені зазначеним Законом, з долученням електронних копій відповідних документів до заяви, зареєстрованої у Державному реєстрі прав, та до реєстраційної справи в електронній формі.</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1" w:name="n1097"/>
      <w:bookmarkStart w:id="32" w:name="n234"/>
      <w:bookmarkEnd w:id="31"/>
      <w:bookmarkEnd w:id="32"/>
      <w:r w:rsidRPr="008F0233">
        <w:rPr>
          <w:rFonts w:ascii="Times New Roman" w:eastAsia="Times New Roman" w:hAnsi="Times New Roman" w:cs="Times New Roman"/>
          <w:color w:val="000000" w:themeColor="text1"/>
          <w:sz w:val="28"/>
          <w:szCs w:val="28"/>
          <w:lang w:eastAsia="uk-UA"/>
        </w:rPr>
        <w:t>Реєстрація заяв про державну реєстрацію прав проводиться в порядку черговості їх надходження.</w:t>
      </w:r>
    </w:p>
    <w:p w:rsidR="002B6635" w:rsidRPr="008F0233" w:rsidRDefault="002B6635" w:rsidP="002B6635">
      <w:pPr>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3" w:name="n235"/>
      <w:bookmarkEnd w:id="33"/>
      <w:r w:rsidRPr="008F0233">
        <w:rPr>
          <w:rFonts w:ascii="Times New Roman" w:eastAsia="Times New Roman" w:hAnsi="Times New Roman" w:cs="Times New Roman"/>
          <w:color w:val="000000" w:themeColor="text1"/>
          <w:sz w:val="28"/>
          <w:szCs w:val="28"/>
          <w:lang w:eastAsia="uk-UA"/>
        </w:rPr>
        <w:t>6. У разі подання заяви про проведення реєстраційних дій в електронній формі така заява за допомогою програмних засобів ведення Державного реєстру прав реєструється у базі даних із зазначенням дати і часу реєстрації, про що за допомогою програмних засобів ведення цього реєстру повідомляється заявник.</w:t>
      </w:r>
    </w:p>
    <w:p w:rsidR="001B51B0" w:rsidRPr="008F0233" w:rsidRDefault="00616250">
      <w:pPr>
        <w:rPr>
          <w:rFonts w:ascii="Times New Roman" w:hAnsi="Times New Roman" w:cs="Times New Roman"/>
          <w:color w:val="000000" w:themeColor="text1"/>
          <w:sz w:val="28"/>
          <w:szCs w:val="28"/>
        </w:rPr>
      </w:pPr>
      <w:bookmarkStart w:id="34" w:name="n578"/>
      <w:bookmarkEnd w:id="34"/>
    </w:p>
    <w:sectPr w:rsidR="001B51B0" w:rsidRPr="008F0233" w:rsidSect="002B6635">
      <w:footerReference w:type="defaul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50" w:rsidRDefault="00616250" w:rsidP="002B6635">
      <w:pPr>
        <w:spacing w:after="0" w:line="240" w:lineRule="auto"/>
      </w:pPr>
      <w:r>
        <w:separator/>
      </w:r>
    </w:p>
  </w:endnote>
  <w:endnote w:type="continuationSeparator" w:id="0">
    <w:p w:rsidR="00616250" w:rsidRDefault="00616250" w:rsidP="002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77231"/>
      <w:docPartObj>
        <w:docPartGallery w:val="Page Numbers (Bottom of Page)"/>
        <w:docPartUnique/>
      </w:docPartObj>
    </w:sdtPr>
    <w:sdtEndPr>
      <w:rPr>
        <w:sz w:val="28"/>
        <w:szCs w:val="28"/>
      </w:rPr>
    </w:sdtEndPr>
    <w:sdtContent>
      <w:p w:rsidR="002B6635" w:rsidRPr="002B6635" w:rsidRDefault="002B6635">
        <w:pPr>
          <w:pStyle w:val="a5"/>
          <w:jc w:val="center"/>
          <w:rPr>
            <w:sz w:val="28"/>
            <w:szCs w:val="28"/>
          </w:rPr>
        </w:pPr>
        <w:r w:rsidRPr="002B6635">
          <w:rPr>
            <w:sz w:val="28"/>
            <w:szCs w:val="28"/>
          </w:rPr>
          <w:fldChar w:fldCharType="begin"/>
        </w:r>
        <w:r w:rsidRPr="002B6635">
          <w:rPr>
            <w:sz w:val="28"/>
            <w:szCs w:val="28"/>
          </w:rPr>
          <w:instrText>PAGE   \* MERGEFORMAT</w:instrText>
        </w:r>
        <w:r w:rsidRPr="002B6635">
          <w:rPr>
            <w:sz w:val="28"/>
            <w:szCs w:val="28"/>
          </w:rPr>
          <w:fldChar w:fldCharType="separate"/>
        </w:r>
        <w:r w:rsidR="00853F0C" w:rsidRPr="00853F0C">
          <w:rPr>
            <w:noProof/>
            <w:sz w:val="28"/>
            <w:szCs w:val="28"/>
            <w:lang w:val="ru-RU"/>
          </w:rPr>
          <w:t>1</w:t>
        </w:r>
        <w:r w:rsidRPr="002B6635">
          <w:rPr>
            <w:sz w:val="28"/>
            <w:szCs w:val="28"/>
          </w:rPr>
          <w:fldChar w:fldCharType="end"/>
        </w:r>
      </w:p>
    </w:sdtContent>
  </w:sdt>
  <w:p w:rsidR="002B6635" w:rsidRDefault="002B66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50" w:rsidRDefault="00616250" w:rsidP="002B6635">
      <w:pPr>
        <w:spacing w:after="0" w:line="240" w:lineRule="auto"/>
      </w:pPr>
      <w:r>
        <w:separator/>
      </w:r>
    </w:p>
  </w:footnote>
  <w:footnote w:type="continuationSeparator" w:id="0">
    <w:p w:rsidR="00616250" w:rsidRDefault="00616250" w:rsidP="002B6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FB"/>
    <w:rsid w:val="002B6635"/>
    <w:rsid w:val="00352A84"/>
    <w:rsid w:val="00616250"/>
    <w:rsid w:val="006D4EFB"/>
    <w:rsid w:val="00853F0C"/>
    <w:rsid w:val="008F0233"/>
    <w:rsid w:val="00C12514"/>
    <w:rsid w:val="00C73BC7"/>
    <w:rsid w:val="00D22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E2C7"/>
  <w15:chartTrackingRefBased/>
  <w15:docId w15:val="{E6AAE671-363C-40D9-96F3-2DD1A54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6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635"/>
  </w:style>
  <w:style w:type="paragraph" w:styleId="a5">
    <w:name w:val="footer"/>
    <w:basedOn w:val="a"/>
    <w:link w:val="a6"/>
    <w:uiPriority w:val="99"/>
    <w:unhideWhenUsed/>
    <w:rsid w:val="002B66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9-20" TargetMode="External"/><Relationship Id="rId13" Type="http://schemas.openxmlformats.org/officeDocument/2006/relationships/hyperlink" Target="https://zakon.rada.gov.ua/laws/show/1952-15" TargetMode="External"/><Relationship Id="rId18" Type="http://schemas.openxmlformats.org/officeDocument/2006/relationships/hyperlink" Target="https://zakon.rada.gov.ua/laws/show/1689-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7" Type="http://schemas.openxmlformats.org/officeDocument/2006/relationships/hyperlink" Target="https://zakon.rada.gov.ua/laws/show/1952-15" TargetMode="External"/><Relationship Id="rId2" Type="http://schemas.openxmlformats.org/officeDocument/2006/relationships/settings" Target="settings.xml"/><Relationship Id="rId16" Type="http://schemas.openxmlformats.org/officeDocument/2006/relationships/hyperlink" Target="https://zakon.rada.gov.ua/laws/show/1952-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952-15" TargetMode="External"/><Relationship Id="rId11" Type="http://schemas.openxmlformats.org/officeDocument/2006/relationships/hyperlink" Target="https://zakon.rada.gov.ua/laws/show/1127-2015-%D0%BF" TargetMode="External"/><Relationship Id="rId5" Type="http://schemas.openxmlformats.org/officeDocument/2006/relationships/endnotes" Target="endnotes.xml"/><Relationship Id="rId15" Type="http://schemas.openxmlformats.org/officeDocument/2006/relationships/hyperlink" Target="https://zakon.rada.gov.ua/laws/show/1952-15" TargetMode="External"/><Relationship Id="rId10" Type="http://schemas.openxmlformats.org/officeDocument/2006/relationships/hyperlink" Target="https://zakon.rada.gov.ua/laws/show/2155-1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laws/show/5492-17" TargetMode="External"/><Relationship Id="rId14" Type="http://schemas.openxmlformats.org/officeDocument/2006/relationships/hyperlink" Target="https://zakon.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3839</Words>
  <Characters>2189</Characters>
  <Application>Microsoft Office Word</Application>
  <DocSecurity>0</DocSecurity>
  <Lines>18</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2025-02-28T13:02:00Z</dcterms:created>
  <dcterms:modified xsi:type="dcterms:W3CDTF">2025-08-26T06:38:00Z</dcterms:modified>
</cp:coreProperties>
</file>