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CA8" w:rsidRDefault="006E0CA8" w:rsidP="008D185E">
      <w:pPr>
        <w:pStyle w:val="rvps2"/>
        <w:shd w:val="clear" w:color="auto" w:fill="FFFFFF"/>
        <w:spacing w:before="0" w:beforeAutospacing="0" w:after="0" w:afterAutospacing="0"/>
        <w:ind w:firstLine="448"/>
        <w:jc w:val="center"/>
        <w:rPr>
          <w:b/>
          <w:color w:val="333333"/>
          <w:sz w:val="28"/>
          <w:szCs w:val="28"/>
          <w:u w:val="single"/>
        </w:rPr>
      </w:pPr>
      <w:r w:rsidRPr="006E0CA8">
        <w:rPr>
          <w:b/>
          <w:color w:val="333333"/>
          <w:sz w:val="28"/>
          <w:szCs w:val="28"/>
          <w:u w:val="single"/>
        </w:rPr>
        <w:t>Надання інформації з Державного реєстру прав</w:t>
      </w:r>
    </w:p>
    <w:p w:rsidR="005B7483" w:rsidRDefault="005B7483" w:rsidP="008D185E">
      <w:pPr>
        <w:pStyle w:val="rvps2"/>
        <w:shd w:val="clear" w:color="auto" w:fill="FFFFFF"/>
        <w:spacing w:before="0" w:beforeAutospacing="0" w:after="0" w:afterAutospacing="0"/>
        <w:ind w:firstLine="448"/>
        <w:jc w:val="center"/>
        <w:rPr>
          <w:b/>
          <w:color w:val="333333"/>
          <w:sz w:val="28"/>
          <w:szCs w:val="28"/>
          <w:u w:val="single"/>
        </w:rPr>
      </w:pPr>
      <w:bookmarkStart w:id="0" w:name="_GoBack"/>
      <w:bookmarkEnd w:id="0"/>
    </w:p>
    <w:p w:rsidR="006E0CA8" w:rsidRPr="00E3138F" w:rsidRDefault="006E0CA8" w:rsidP="008D185E">
      <w:pPr>
        <w:pStyle w:val="rvps2"/>
        <w:shd w:val="clear" w:color="auto" w:fill="FFFFFF"/>
        <w:spacing w:before="0" w:beforeAutospacing="0" w:after="0" w:afterAutospacing="0"/>
        <w:ind w:firstLine="448"/>
        <w:jc w:val="center"/>
        <w:rPr>
          <w:b/>
          <w:color w:val="333333"/>
          <w:sz w:val="16"/>
          <w:szCs w:val="16"/>
          <w:u w:val="single"/>
        </w:rPr>
      </w:pPr>
    </w:p>
    <w:p w:rsidR="006E0CA8" w:rsidRPr="0011552D" w:rsidRDefault="006E0CA8" w:rsidP="006E0CA8">
      <w:pPr>
        <w:pStyle w:val="rvps2"/>
        <w:shd w:val="clear" w:color="auto" w:fill="FFFFFF"/>
        <w:spacing w:before="0" w:beforeAutospacing="0" w:after="150" w:afterAutospacing="0"/>
        <w:ind w:firstLine="450"/>
        <w:jc w:val="both"/>
        <w:rPr>
          <w:color w:val="000000" w:themeColor="text1"/>
          <w:sz w:val="28"/>
          <w:szCs w:val="28"/>
        </w:rPr>
      </w:pPr>
      <w:bookmarkStart w:id="1" w:name="n337"/>
      <w:bookmarkEnd w:id="1"/>
      <w:r w:rsidRPr="0011552D">
        <w:rPr>
          <w:color w:val="000000" w:themeColor="text1"/>
          <w:sz w:val="28"/>
          <w:szCs w:val="28"/>
        </w:rPr>
        <w:t>1. Інформація про зареєстровані права на нерухоме майно та їх обтяження, що міститься у Державному реєстрі прав, є відкритою, загальнодоступною та платною, крім випадків, передбачених цим Законом.</w:t>
      </w:r>
    </w:p>
    <w:p w:rsidR="006E0CA8" w:rsidRPr="0011552D" w:rsidRDefault="006E0CA8" w:rsidP="006E0CA8">
      <w:pPr>
        <w:pStyle w:val="rvps2"/>
        <w:shd w:val="clear" w:color="auto" w:fill="FFFFFF"/>
        <w:spacing w:before="0" w:beforeAutospacing="0" w:after="150" w:afterAutospacing="0"/>
        <w:ind w:firstLine="450"/>
        <w:jc w:val="both"/>
        <w:rPr>
          <w:color w:val="000000" w:themeColor="text1"/>
          <w:sz w:val="28"/>
          <w:szCs w:val="28"/>
        </w:rPr>
      </w:pPr>
      <w:bookmarkStart w:id="2" w:name="n338"/>
      <w:bookmarkEnd w:id="2"/>
      <w:r w:rsidRPr="0011552D">
        <w:rPr>
          <w:color w:val="000000" w:themeColor="text1"/>
          <w:sz w:val="28"/>
          <w:szCs w:val="28"/>
        </w:rPr>
        <w:t>2. Для фізичних та юридичних осіб інформація за об’єктом нерухомого майна та суб’єктом речового права надається в електронній формі через офіційний веб-сайт Міністерства юстиції України, за умови ідентифікації такої особи (фізичної або юридичної) з використанням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або засобів електронної ідентифікації, що мають високий або середній рівень довіри, відповідно до вимог законів України </w:t>
      </w:r>
      <w:hyperlink r:id="rId4" w:tgtFrame="_blank" w:history="1">
        <w:r w:rsidRPr="0011552D">
          <w:rPr>
            <w:rStyle w:val="a3"/>
            <w:color w:val="000000" w:themeColor="text1"/>
            <w:sz w:val="28"/>
            <w:szCs w:val="28"/>
            <w:u w:val="none"/>
          </w:rPr>
          <w:t>"Про електронні документи та електронний документообіг"</w:t>
        </w:r>
      </w:hyperlink>
      <w:r w:rsidRPr="0011552D">
        <w:rPr>
          <w:color w:val="000000" w:themeColor="text1"/>
          <w:sz w:val="28"/>
          <w:szCs w:val="28"/>
        </w:rPr>
        <w:t> та </w:t>
      </w:r>
      <w:hyperlink r:id="rId5" w:tgtFrame="_blank" w:history="1">
        <w:r w:rsidRPr="0011552D">
          <w:rPr>
            <w:rStyle w:val="a3"/>
            <w:color w:val="000000" w:themeColor="text1"/>
            <w:sz w:val="28"/>
            <w:szCs w:val="28"/>
            <w:u w:val="none"/>
          </w:rPr>
          <w:t>"Про електронну ідентифікацію та електронні довірчі послуги"</w:t>
        </w:r>
      </w:hyperlink>
      <w:r w:rsidRPr="0011552D">
        <w:rPr>
          <w:color w:val="000000" w:themeColor="text1"/>
          <w:sz w:val="28"/>
          <w:szCs w:val="28"/>
        </w:rPr>
        <w:t>, або в паперовій формі.</w:t>
      </w:r>
    </w:p>
    <w:p w:rsidR="006E0CA8" w:rsidRPr="0011552D" w:rsidRDefault="006E0CA8" w:rsidP="006E0CA8">
      <w:pPr>
        <w:pStyle w:val="rvps2"/>
        <w:shd w:val="clear" w:color="auto" w:fill="FFFFFF"/>
        <w:spacing w:before="0" w:beforeAutospacing="0" w:after="150" w:afterAutospacing="0"/>
        <w:ind w:firstLine="450"/>
        <w:jc w:val="both"/>
        <w:rPr>
          <w:color w:val="000000" w:themeColor="text1"/>
          <w:sz w:val="28"/>
          <w:szCs w:val="28"/>
        </w:rPr>
      </w:pPr>
      <w:bookmarkStart w:id="3" w:name="n615"/>
      <w:bookmarkStart w:id="4" w:name="n339"/>
      <w:bookmarkEnd w:id="3"/>
      <w:bookmarkEnd w:id="4"/>
      <w:r w:rsidRPr="0011552D">
        <w:rPr>
          <w:color w:val="000000" w:themeColor="text1"/>
          <w:sz w:val="28"/>
          <w:szCs w:val="28"/>
        </w:rPr>
        <w:t>Інформація про зареєстровані права та їх обтяження, отримана в електронній чи паперовій формі за допомогою програмного забезпечення Державного реєстру прав, має однакову юридичну силу та використовується відповідно до законодавства.</w:t>
      </w:r>
    </w:p>
    <w:p w:rsidR="006E0CA8" w:rsidRPr="0011552D" w:rsidRDefault="006E0CA8" w:rsidP="006E0CA8">
      <w:pPr>
        <w:pStyle w:val="rvps2"/>
        <w:shd w:val="clear" w:color="auto" w:fill="FFFFFF"/>
        <w:spacing w:before="0" w:beforeAutospacing="0" w:after="150" w:afterAutospacing="0"/>
        <w:ind w:firstLine="450"/>
        <w:jc w:val="both"/>
        <w:rPr>
          <w:color w:val="000000" w:themeColor="text1"/>
          <w:sz w:val="28"/>
          <w:szCs w:val="28"/>
        </w:rPr>
      </w:pPr>
      <w:bookmarkStart w:id="5" w:name="n340"/>
      <w:bookmarkEnd w:id="5"/>
      <w:r w:rsidRPr="0011552D">
        <w:rPr>
          <w:color w:val="000000" w:themeColor="text1"/>
          <w:sz w:val="28"/>
          <w:szCs w:val="28"/>
        </w:rPr>
        <w:t>Інформація з Державного реєстру прав не надається фізичним та юридичним особам у разі невнесення плати за надання інформації або внесення її не в повному обсязі.</w:t>
      </w:r>
    </w:p>
    <w:bookmarkStart w:id="6" w:name="n341"/>
    <w:bookmarkEnd w:id="6"/>
    <w:p w:rsidR="006E0CA8" w:rsidRPr="0011552D" w:rsidRDefault="006E0CA8" w:rsidP="006E0CA8">
      <w:pPr>
        <w:pStyle w:val="rvps2"/>
        <w:shd w:val="clear" w:color="auto" w:fill="FFFFFF"/>
        <w:spacing w:before="0" w:beforeAutospacing="0" w:after="150" w:afterAutospacing="0"/>
        <w:ind w:firstLine="450"/>
        <w:jc w:val="both"/>
        <w:rPr>
          <w:color w:val="000000" w:themeColor="text1"/>
          <w:sz w:val="28"/>
          <w:szCs w:val="28"/>
        </w:rPr>
      </w:pPr>
      <w:r w:rsidRPr="0011552D">
        <w:rPr>
          <w:color w:val="000000" w:themeColor="text1"/>
          <w:sz w:val="28"/>
          <w:szCs w:val="28"/>
        </w:rPr>
        <w:fldChar w:fldCharType="begin"/>
      </w:r>
      <w:r w:rsidRPr="0011552D">
        <w:rPr>
          <w:color w:val="000000" w:themeColor="text1"/>
          <w:sz w:val="28"/>
          <w:szCs w:val="28"/>
        </w:rPr>
        <w:instrText xml:space="preserve"> HYPERLINK "https://zakon.rada.gov.ua/laws/show/1127-2015-%D0%BF" \l "n271" \t "_blank" </w:instrText>
      </w:r>
      <w:r w:rsidRPr="0011552D">
        <w:rPr>
          <w:color w:val="000000" w:themeColor="text1"/>
          <w:sz w:val="28"/>
          <w:szCs w:val="28"/>
        </w:rPr>
        <w:fldChar w:fldCharType="separate"/>
      </w:r>
      <w:r w:rsidRPr="0011552D">
        <w:rPr>
          <w:rStyle w:val="a3"/>
          <w:color w:val="000000" w:themeColor="text1"/>
          <w:sz w:val="28"/>
          <w:szCs w:val="28"/>
          <w:u w:val="none"/>
        </w:rPr>
        <w:t>Порядок надання інформації з Державного реєстру прав</w:t>
      </w:r>
      <w:r w:rsidRPr="0011552D">
        <w:rPr>
          <w:color w:val="000000" w:themeColor="text1"/>
          <w:sz w:val="28"/>
          <w:szCs w:val="28"/>
        </w:rPr>
        <w:fldChar w:fldCharType="end"/>
      </w:r>
      <w:r w:rsidRPr="0011552D">
        <w:rPr>
          <w:color w:val="000000" w:themeColor="text1"/>
          <w:sz w:val="28"/>
          <w:szCs w:val="28"/>
        </w:rPr>
        <w:t> визначається Кабінетом Міністрів України.</w:t>
      </w:r>
    </w:p>
    <w:p w:rsidR="006E0CA8" w:rsidRPr="0011552D" w:rsidRDefault="006E0CA8" w:rsidP="006E0CA8">
      <w:pPr>
        <w:pStyle w:val="rvps2"/>
        <w:shd w:val="clear" w:color="auto" w:fill="FFFFFF"/>
        <w:spacing w:before="0" w:beforeAutospacing="0" w:after="150" w:afterAutospacing="0"/>
        <w:ind w:firstLine="450"/>
        <w:jc w:val="both"/>
        <w:rPr>
          <w:color w:val="000000" w:themeColor="text1"/>
          <w:sz w:val="28"/>
          <w:szCs w:val="28"/>
        </w:rPr>
      </w:pPr>
      <w:bookmarkStart w:id="7" w:name="n342"/>
      <w:bookmarkEnd w:id="7"/>
      <w:r w:rsidRPr="0011552D">
        <w:rPr>
          <w:color w:val="000000" w:themeColor="text1"/>
          <w:sz w:val="28"/>
          <w:szCs w:val="28"/>
        </w:rPr>
        <w:t>3. Для посадових осіб органів державної влади, органів місцевого самоврядування, судів, органів Національної поліції, органів прокуратури, органів Служби безпеки України, Бюро економічної безпеки України, Національного банку України, Національного антикорупційного бюро України, Національного агентства з питань запобігання корупції, приватних виконавців, арбітражних керуючих, адвокатів, нотаріусів інформація з Державного реєстру прав у зв’язку із здійсненням ними повноважень, визначених законом, надається за суб’єктом права чи за об’єктом нерухомого майна в електронній формі шляхом безпосереднього доступу до Державного реєстру прав, за умови ідентифікації відповідної посадової особи за допомогою кваліфікованого електронного підпису відповідно до вимог </w:t>
      </w:r>
      <w:hyperlink r:id="rId6" w:tgtFrame="_blank" w:history="1">
        <w:r w:rsidRPr="0011552D">
          <w:rPr>
            <w:rStyle w:val="a3"/>
            <w:color w:val="000000" w:themeColor="text1"/>
            <w:sz w:val="28"/>
            <w:szCs w:val="28"/>
            <w:u w:val="none"/>
          </w:rPr>
          <w:t>Закону України</w:t>
        </w:r>
      </w:hyperlink>
      <w:r w:rsidRPr="0011552D">
        <w:rPr>
          <w:color w:val="000000" w:themeColor="text1"/>
          <w:sz w:val="28"/>
          <w:szCs w:val="28"/>
        </w:rPr>
        <w:t> "Про електронну ідентифікацію та електронні довірчі послуги". </w:t>
      </w:r>
      <w:hyperlink r:id="rId7" w:anchor="n326" w:tgtFrame="_blank" w:history="1">
        <w:r w:rsidRPr="0011552D">
          <w:rPr>
            <w:rStyle w:val="a3"/>
            <w:color w:val="000000" w:themeColor="text1"/>
            <w:sz w:val="28"/>
            <w:szCs w:val="28"/>
            <w:u w:val="none"/>
          </w:rPr>
          <w:t>Порядок доступу до Державного реєстру прав</w:t>
        </w:r>
      </w:hyperlink>
      <w:r w:rsidRPr="0011552D">
        <w:rPr>
          <w:color w:val="000000" w:themeColor="text1"/>
          <w:sz w:val="28"/>
          <w:szCs w:val="28"/>
        </w:rPr>
        <w:t> визначається Кабінетом Міністрів України, крім випадків, передбачених цим Законом.</w:t>
      </w:r>
    </w:p>
    <w:p w:rsidR="006E0CA8" w:rsidRPr="0011552D" w:rsidRDefault="006E0CA8" w:rsidP="006E0CA8">
      <w:pPr>
        <w:pStyle w:val="rvps2"/>
        <w:shd w:val="clear" w:color="auto" w:fill="FFFFFF"/>
        <w:spacing w:before="0" w:beforeAutospacing="0" w:after="150" w:afterAutospacing="0"/>
        <w:ind w:firstLine="450"/>
        <w:jc w:val="both"/>
        <w:rPr>
          <w:color w:val="000000" w:themeColor="text1"/>
          <w:sz w:val="28"/>
          <w:szCs w:val="28"/>
        </w:rPr>
      </w:pPr>
      <w:bookmarkStart w:id="8" w:name="n980"/>
      <w:bookmarkStart w:id="9" w:name="n720"/>
      <w:bookmarkEnd w:id="8"/>
      <w:bookmarkEnd w:id="9"/>
      <w:r w:rsidRPr="0011552D">
        <w:rPr>
          <w:color w:val="000000" w:themeColor="text1"/>
          <w:sz w:val="28"/>
          <w:szCs w:val="28"/>
        </w:rPr>
        <w:t>Національному агентству з питань запобігання корупції надається також безпосередній автоматизований доступ до Єдиного державного реєстру.</w:t>
      </w:r>
    </w:p>
    <w:p w:rsidR="006E0CA8" w:rsidRPr="0011552D" w:rsidRDefault="006E0CA8" w:rsidP="006E0CA8">
      <w:pPr>
        <w:pStyle w:val="rvps2"/>
        <w:shd w:val="clear" w:color="auto" w:fill="FFFFFF"/>
        <w:spacing w:before="0" w:beforeAutospacing="0" w:after="150" w:afterAutospacing="0"/>
        <w:ind w:firstLine="450"/>
        <w:jc w:val="both"/>
        <w:rPr>
          <w:color w:val="000000" w:themeColor="text1"/>
          <w:sz w:val="28"/>
          <w:szCs w:val="28"/>
        </w:rPr>
      </w:pPr>
      <w:bookmarkStart w:id="10" w:name="n721"/>
      <w:bookmarkStart w:id="11" w:name="n679"/>
      <w:bookmarkStart w:id="12" w:name="n678"/>
      <w:bookmarkStart w:id="13" w:name="n982"/>
      <w:bookmarkStart w:id="14" w:name="n981"/>
      <w:bookmarkStart w:id="15" w:name="n1301"/>
      <w:bookmarkStart w:id="16" w:name="n1300"/>
      <w:bookmarkStart w:id="17" w:name="n343"/>
      <w:bookmarkEnd w:id="10"/>
      <w:bookmarkEnd w:id="11"/>
      <w:bookmarkEnd w:id="12"/>
      <w:bookmarkEnd w:id="13"/>
      <w:bookmarkEnd w:id="14"/>
      <w:bookmarkEnd w:id="15"/>
      <w:bookmarkEnd w:id="16"/>
      <w:bookmarkEnd w:id="17"/>
      <w:r w:rsidRPr="0011552D">
        <w:rPr>
          <w:color w:val="000000" w:themeColor="text1"/>
          <w:sz w:val="28"/>
          <w:szCs w:val="28"/>
        </w:rPr>
        <w:t xml:space="preserve">4. За заявою власника чи іншого </w:t>
      </w:r>
      <w:proofErr w:type="spellStart"/>
      <w:r w:rsidRPr="0011552D">
        <w:rPr>
          <w:color w:val="000000" w:themeColor="text1"/>
          <w:sz w:val="28"/>
          <w:szCs w:val="28"/>
        </w:rPr>
        <w:t>правоволодільця</w:t>
      </w:r>
      <w:proofErr w:type="spellEnd"/>
      <w:r w:rsidRPr="0011552D">
        <w:rPr>
          <w:color w:val="000000" w:themeColor="text1"/>
          <w:sz w:val="28"/>
          <w:szCs w:val="28"/>
        </w:rPr>
        <w:t xml:space="preserve"> державний реєстратор надає інформацію про осіб, які отримали відомості про зареєстровані права на нерухоме майно, що їм належить, та обтяження таких прав.</w:t>
      </w:r>
    </w:p>
    <w:sectPr w:rsidR="006E0CA8" w:rsidRPr="0011552D" w:rsidSect="006E0CA8">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D"/>
    <w:rsid w:val="0011552D"/>
    <w:rsid w:val="00221A9D"/>
    <w:rsid w:val="005B7483"/>
    <w:rsid w:val="006E0CA8"/>
    <w:rsid w:val="008D185E"/>
    <w:rsid w:val="00C12514"/>
    <w:rsid w:val="00C73BC7"/>
    <w:rsid w:val="00E313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24FE3"/>
  <w15:chartTrackingRefBased/>
  <w15:docId w15:val="{2C4F6714-9B8B-405B-B50C-FC9414C1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6E0CA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6E0CA8"/>
  </w:style>
  <w:style w:type="character" w:styleId="a3">
    <w:name w:val="Hyperlink"/>
    <w:basedOn w:val="a0"/>
    <w:uiPriority w:val="99"/>
    <w:semiHidden/>
    <w:unhideWhenUsed/>
    <w:rsid w:val="006E0CA8"/>
    <w:rPr>
      <w:color w:val="0000FF"/>
      <w:u w:val="single"/>
    </w:rPr>
  </w:style>
  <w:style w:type="character" w:customStyle="1" w:styleId="rvts46">
    <w:name w:val="rvts46"/>
    <w:basedOn w:val="a0"/>
    <w:rsid w:val="006E0CA8"/>
  </w:style>
  <w:style w:type="character" w:customStyle="1" w:styleId="rvts11">
    <w:name w:val="rvts11"/>
    <w:basedOn w:val="a0"/>
    <w:rsid w:val="006E0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47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akon.rada.gov.ua/laws/show/1127-2015-%D0%B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155-19" TargetMode="External"/><Relationship Id="rId5" Type="http://schemas.openxmlformats.org/officeDocument/2006/relationships/hyperlink" Target="https://zakon.rada.gov.ua/laws/show/2155-19" TargetMode="External"/><Relationship Id="rId4" Type="http://schemas.openxmlformats.org/officeDocument/2006/relationships/hyperlink" Target="https://zakon.rada.gov.ua/laws/show/851-1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1978</Words>
  <Characters>1129</Characters>
  <Application>Microsoft Office Word</Application>
  <DocSecurity>0</DocSecurity>
  <Lines>9</Lines>
  <Paragraphs>6</Paragraphs>
  <ScaleCrop>false</ScaleCrop>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2025-03-03T08:36:00Z</dcterms:created>
  <dcterms:modified xsi:type="dcterms:W3CDTF">2025-08-26T06:38:00Z</dcterms:modified>
</cp:coreProperties>
</file>