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49" w:rsidRPr="00941EE0" w:rsidRDefault="004C4549" w:rsidP="00941EE0">
      <w:pPr>
        <w:pStyle w:val="rvps2"/>
        <w:shd w:val="clear" w:color="auto" w:fill="FFFFFF"/>
        <w:spacing w:before="0" w:beforeAutospacing="0" w:after="150" w:afterAutospacing="0"/>
        <w:ind w:firstLine="450"/>
        <w:jc w:val="center"/>
        <w:rPr>
          <w:b/>
          <w:color w:val="333333"/>
        </w:rPr>
      </w:pPr>
      <w:bookmarkStart w:id="0" w:name="_GoBack"/>
      <w:bookmarkEnd w:id="0"/>
      <w:r w:rsidRPr="00941EE0">
        <w:rPr>
          <w:b/>
          <w:color w:val="333333"/>
        </w:rPr>
        <w:t>Відмова у державній реєстрації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1" w:name="n728"/>
      <w:bookmarkEnd w:id="1"/>
      <w:r w:rsidRPr="00941EE0">
        <w:rPr>
          <w:color w:val="000000" w:themeColor="text1"/>
        </w:rPr>
        <w:t>1. Підстави для відмови у державній реєстрації: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2" w:name="n729"/>
      <w:bookmarkEnd w:id="2"/>
      <w:r w:rsidRPr="00941EE0">
        <w:rPr>
          <w:color w:val="000000" w:themeColor="text1"/>
        </w:rPr>
        <w:t>1) документи подано особою, яка не має на це повноважень;</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3" w:name="n730"/>
      <w:bookmarkEnd w:id="3"/>
      <w:r w:rsidRPr="00941EE0">
        <w:rPr>
          <w:color w:val="000000" w:themeColor="text1"/>
        </w:rPr>
        <w:t>2) у Єдиному державному реєстрі містяться відомості про судове рішення щодо заборони проведення реєстраційної дії, крім випадків, встановлених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4" w:name="n1861"/>
      <w:bookmarkStart w:id="5" w:name="n731"/>
      <w:bookmarkEnd w:id="4"/>
      <w:bookmarkEnd w:id="5"/>
      <w:r w:rsidRPr="00941EE0">
        <w:rPr>
          <w:color w:val="000000" w:themeColor="text1"/>
        </w:rPr>
        <w:t>3) у Державному реєстрі обтяжень рухомого майна містяться відомості про обтяження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крім випадків стягнення у дохід держави такої частки як санкції, передбаченої </w:t>
      </w:r>
      <w:hyperlink r:id="rId6" w:anchor="n77" w:tgtFrame="_blank" w:history="1">
        <w:r w:rsidRPr="00941EE0">
          <w:rPr>
            <w:rStyle w:val="a3"/>
            <w:color w:val="000000" w:themeColor="text1"/>
            <w:u w:val="none"/>
          </w:rPr>
          <w:t>пунктом 1</w:t>
        </w:r>
      </w:hyperlink>
      <w:hyperlink r:id="rId7" w:anchor="n77" w:tgtFrame="_blank" w:history="1">
        <w:r w:rsidRPr="00941EE0">
          <w:rPr>
            <w:rStyle w:val="a3"/>
            <w:b/>
            <w:bCs/>
            <w:color w:val="000000" w:themeColor="text1"/>
            <w:sz w:val="2"/>
            <w:szCs w:val="2"/>
            <w:u w:val="none"/>
            <w:vertAlign w:val="superscript"/>
          </w:rPr>
          <w:t>-</w:t>
        </w:r>
        <w:r w:rsidRPr="00941EE0">
          <w:rPr>
            <w:rStyle w:val="a3"/>
            <w:b/>
            <w:bCs/>
            <w:color w:val="000000" w:themeColor="text1"/>
            <w:sz w:val="16"/>
            <w:szCs w:val="16"/>
            <w:u w:val="none"/>
            <w:vertAlign w:val="superscript"/>
          </w:rPr>
          <w:t>1</w:t>
        </w:r>
      </w:hyperlink>
      <w:hyperlink r:id="rId8" w:anchor="n77" w:tgtFrame="_blank" w:history="1">
        <w:r w:rsidRPr="00941EE0">
          <w:rPr>
            <w:rStyle w:val="a3"/>
            <w:color w:val="000000" w:themeColor="text1"/>
            <w:u w:val="none"/>
          </w:rPr>
          <w:t> </w:t>
        </w:r>
      </w:hyperlink>
      <w:r w:rsidRPr="00941EE0">
        <w:rPr>
          <w:color w:val="000000" w:themeColor="text1"/>
        </w:rPr>
        <w:t>частини першої статті 4 Закону України "Про санкції";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6" w:name="n1468"/>
      <w:bookmarkStart w:id="7" w:name="n1095"/>
      <w:bookmarkEnd w:id="6"/>
      <w:bookmarkEnd w:id="7"/>
      <w:r w:rsidRPr="00941EE0">
        <w:rPr>
          <w:color w:val="000000" w:themeColor="text1"/>
        </w:rPr>
        <w:t>3</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1</w:t>
      </w:r>
      <w:r w:rsidRPr="00941EE0">
        <w:rPr>
          <w:color w:val="000000" w:themeColor="text1"/>
        </w:rPr>
        <w:t>) 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 або боржник у межах провадження у справі про банкрутство (неплатоспроможність), згідно із затвердженим господарським судом планом санації (планом реструктуризації боргів боржника), у процедурі ліквідації (погашення вимог боргів боржника) або згідно із затвердженим господарським судом планом превентивної реструктуризації);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8" w:name="n1094"/>
      <w:bookmarkStart w:id="9" w:name="n1218"/>
      <w:bookmarkEnd w:id="8"/>
      <w:bookmarkEnd w:id="9"/>
      <w:r w:rsidRPr="00941EE0">
        <w:rPr>
          <w:color w:val="000000" w:themeColor="text1"/>
        </w:rPr>
        <w:t>3</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2</w:t>
      </w:r>
      <w:r w:rsidRPr="00941EE0">
        <w:rPr>
          <w:color w:val="000000" w:themeColor="text1"/>
        </w:rPr>
        <w:t>) документи подані до неналежного суб’єкта державної реєстрації;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10" w:name="n1217"/>
      <w:bookmarkStart w:id="11" w:name="n1640"/>
      <w:bookmarkEnd w:id="10"/>
      <w:bookmarkEnd w:id="11"/>
      <w:r w:rsidRPr="00941EE0">
        <w:rPr>
          <w:color w:val="000000" w:themeColor="text1"/>
        </w:rPr>
        <w:t>3</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3</w:t>
      </w:r>
      <w:r w:rsidRPr="00941EE0">
        <w:rPr>
          <w:color w:val="000000" w:themeColor="text1"/>
        </w:rPr>
        <w:t>) встановлення факту застосування санкцій відповідно до </w:t>
      </w:r>
      <w:hyperlink r:id="rId9" w:tgtFrame="_blank" w:history="1">
        <w:r w:rsidRPr="00941EE0">
          <w:rPr>
            <w:rStyle w:val="a3"/>
            <w:color w:val="000000" w:themeColor="text1"/>
            <w:u w:val="none"/>
          </w:rPr>
          <w:t>Закону України</w:t>
        </w:r>
      </w:hyperlink>
      <w:r w:rsidRPr="00941EE0">
        <w:rPr>
          <w:color w:val="000000" w:themeColor="text1"/>
        </w:rPr>
        <w:t> "Про санкції", які унеможливлюють проведення державної реєстрації, крім проведення державної реєстрації змін до відомостей про боржника на підставі судового рішення господарського суду у справі про банкрутство (неплатоспроможність) боржника;</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12" w:name="n1641"/>
      <w:bookmarkStart w:id="13" w:name="n732"/>
      <w:bookmarkEnd w:id="12"/>
      <w:bookmarkEnd w:id="13"/>
      <w:r w:rsidRPr="00941EE0">
        <w:rPr>
          <w:color w:val="000000" w:themeColor="text1"/>
        </w:rPr>
        <w:t>4) подання документів або відомостей, передбачених Законом, не в повному обсязі;</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14" w:name="n1469"/>
      <w:bookmarkStart w:id="15" w:name="n733"/>
      <w:bookmarkEnd w:id="14"/>
      <w:bookmarkEnd w:id="15"/>
      <w:r w:rsidRPr="00941EE0">
        <w:rPr>
          <w:color w:val="000000" w:themeColor="text1"/>
        </w:rPr>
        <w:t>5) документи суперечать вимогам </w:t>
      </w:r>
      <w:hyperlink r:id="rId10" w:tgtFrame="_blank" w:history="1">
        <w:r w:rsidRPr="00941EE0">
          <w:rPr>
            <w:rStyle w:val="a3"/>
            <w:color w:val="000000" w:themeColor="text1"/>
            <w:u w:val="none"/>
          </w:rPr>
          <w:t>Конституції</w:t>
        </w:r>
      </w:hyperlink>
      <w:r w:rsidRPr="00941EE0">
        <w:rPr>
          <w:color w:val="000000" w:themeColor="text1"/>
        </w:rPr>
        <w:t> та законів України;</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16" w:name="n734"/>
      <w:bookmarkEnd w:id="16"/>
      <w:r w:rsidRPr="00941EE0">
        <w:rPr>
          <w:color w:val="000000" w:themeColor="text1"/>
        </w:rPr>
        <w:t>6) документи суперечать статуту громадського формування;</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17" w:name="n735"/>
      <w:bookmarkEnd w:id="17"/>
      <w:r w:rsidRPr="00941EE0">
        <w:rPr>
          <w:color w:val="000000" w:themeColor="text1"/>
        </w:rPr>
        <w:t>7) порушено встановлений законом порядок створення юридичної особи, громадського формування, що не має статусу юридичної особи;</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18" w:name="n1260"/>
      <w:bookmarkEnd w:id="18"/>
      <w:r w:rsidRPr="00941EE0">
        <w:rPr>
          <w:color w:val="000000" w:themeColor="text1"/>
        </w:rPr>
        <w:t>7</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1</w:t>
      </w:r>
      <w:r w:rsidRPr="00941EE0">
        <w:rPr>
          <w:color w:val="000000" w:themeColor="text1"/>
        </w:rPr>
        <w:t>) порушено встановлену учасником вимогу нотаріального засвідчення справжності підпису під час прийняття рішень з питань діяльності юридичної особи та/або вимоги нотаріального посвідчення правочину, предметом якого є частка такого учасника у статутному (складеному) капіталі (пайовому фонді) відповідної юридичної особи;</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19" w:name="n1259"/>
      <w:bookmarkStart w:id="20" w:name="n736"/>
      <w:bookmarkEnd w:id="19"/>
      <w:bookmarkEnd w:id="20"/>
      <w:r w:rsidRPr="00941EE0">
        <w:rPr>
          <w:color w:val="000000" w:themeColor="text1"/>
        </w:rPr>
        <w:t>8) невідповідність найменування юридичної особи вимогам закону;</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21" w:name="n737"/>
      <w:bookmarkEnd w:id="21"/>
      <w:r w:rsidRPr="00941EE0">
        <w:rPr>
          <w:color w:val="000000" w:themeColor="text1"/>
        </w:rPr>
        <w:t>9)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22" w:name="n738"/>
      <w:bookmarkEnd w:id="22"/>
      <w:r w:rsidRPr="00941EE0">
        <w:rPr>
          <w:color w:val="000000" w:themeColor="text1"/>
        </w:rPr>
        <w:t>10)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23" w:name="n1220"/>
      <w:bookmarkEnd w:id="23"/>
      <w:r w:rsidRPr="00941EE0">
        <w:rPr>
          <w:color w:val="000000" w:themeColor="text1"/>
        </w:rPr>
        <w:lastRenderedPageBreak/>
        <w:t>10</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1</w:t>
      </w:r>
      <w:r w:rsidRPr="00941EE0">
        <w:rPr>
          <w:color w:val="000000" w:themeColor="text1"/>
        </w:rPr>
        <w:t>) 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24" w:name="n1222"/>
      <w:bookmarkStart w:id="25" w:name="n1221"/>
      <w:bookmarkEnd w:id="24"/>
      <w:bookmarkEnd w:id="25"/>
      <w:r w:rsidRPr="00941EE0">
        <w:rPr>
          <w:color w:val="000000" w:themeColor="text1"/>
        </w:rPr>
        <w:t>10</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2</w:t>
      </w:r>
      <w:r w:rsidRPr="00941EE0">
        <w:rPr>
          <w:color w:val="000000" w:themeColor="text1"/>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26" w:name="n1219"/>
      <w:bookmarkStart w:id="27" w:name="n1373"/>
      <w:bookmarkEnd w:id="26"/>
      <w:bookmarkEnd w:id="27"/>
      <w:r w:rsidRPr="00941EE0">
        <w:rPr>
          <w:color w:val="000000" w:themeColor="text1"/>
        </w:rPr>
        <w:t>10</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3</w:t>
      </w:r>
      <w:r w:rsidRPr="00941EE0">
        <w:rPr>
          <w:color w:val="000000" w:themeColor="text1"/>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28" w:name="n1375"/>
      <w:bookmarkStart w:id="29" w:name="n1374"/>
      <w:bookmarkEnd w:id="28"/>
      <w:bookmarkEnd w:id="29"/>
      <w:r w:rsidRPr="00941EE0">
        <w:rPr>
          <w:color w:val="000000" w:themeColor="text1"/>
        </w:rPr>
        <w:t>10</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4</w:t>
      </w:r>
      <w:r w:rsidRPr="00941EE0">
        <w:rPr>
          <w:color w:val="000000" w:themeColor="text1"/>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30" w:name="n1372"/>
      <w:bookmarkStart w:id="31" w:name="n1471"/>
      <w:bookmarkEnd w:id="30"/>
      <w:bookmarkEnd w:id="31"/>
      <w:r w:rsidRPr="00941EE0">
        <w:rPr>
          <w:color w:val="000000" w:themeColor="text1"/>
        </w:rPr>
        <w:t>10</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5</w:t>
      </w:r>
      <w:r w:rsidRPr="00941EE0">
        <w:rPr>
          <w:color w:val="000000" w:themeColor="text1"/>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32" w:name="n1470"/>
      <w:bookmarkStart w:id="33" w:name="n739"/>
      <w:bookmarkEnd w:id="32"/>
      <w:bookmarkEnd w:id="33"/>
      <w:r w:rsidRPr="00941EE0">
        <w:rPr>
          <w:color w:val="000000" w:themeColor="text1"/>
        </w:rPr>
        <w:t>11) документи для державної реєстрації припинення юридичної особи подані:</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34" w:name="n740"/>
      <w:bookmarkEnd w:id="34"/>
      <w:r w:rsidRPr="00941EE0">
        <w:rPr>
          <w:color w:val="000000" w:themeColor="text1"/>
        </w:rPr>
        <w:t>раніше строку, встановленого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35" w:name="n741"/>
      <w:bookmarkEnd w:id="35"/>
      <w:r w:rsidRPr="00941EE0">
        <w:rPr>
          <w:color w:val="000000" w:themeColor="text1"/>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36" w:name="n972"/>
      <w:bookmarkStart w:id="37" w:name="n742"/>
      <w:bookmarkEnd w:id="36"/>
      <w:bookmarkEnd w:id="37"/>
      <w:r w:rsidRPr="00941EE0">
        <w:rPr>
          <w:color w:val="000000" w:themeColor="text1"/>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38" w:name="n973"/>
      <w:bookmarkStart w:id="39" w:name="n743"/>
      <w:bookmarkEnd w:id="38"/>
      <w:bookmarkEnd w:id="39"/>
      <w:r w:rsidRPr="00941EE0">
        <w:rPr>
          <w:color w:val="000000" w:themeColor="text1"/>
        </w:rPr>
        <w:t>щодо акціонерного товариства, стосовно якого надійшли відомості про наявність нескасованої реєстрації випуску акцій;</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40" w:name="n744"/>
      <w:bookmarkEnd w:id="40"/>
      <w:r w:rsidRPr="00941EE0">
        <w:rPr>
          <w:color w:val="000000" w:themeColor="text1"/>
        </w:rPr>
        <w:t>щодо юридичної особи - емітента цінних паперів, стосовно якого надійшли відомості про наявність нескасованих випусків цінних паперів;</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41" w:name="n745"/>
      <w:bookmarkEnd w:id="41"/>
      <w:r w:rsidRPr="00941EE0">
        <w:rPr>
          <w:color w:val="000000" w:themeColor="text1"/>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w:t>
      </w:r>
      <w:hyperlink r:id="rId11" w:tgtFrame="_blank" w:history="1">
        <w:r w:rsidRPr="00941EE0">
          <w:rPr>
            <w:rStyle w:val="a3"/>
            <w:color w:val="000000" w:themeColor="text1"/>
            <w:u w:val="none"/>
          </w:rPr>
          <w:t>Закону України</w:t>
        </w:r>
      </w:hyperlink>
      <w:r w:rsidRPr="00941EE0">
        <w:rPr>
          <w:color w:val="000000" w:themeColor="text1"/>
        </w:rPr>
        <w:t> "Про систему гарантування вкладів фізичних осіб";</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42" w:name="n1096"/>
      <w:bookmarkStart w:id="43" w:name="n746"/>
      <w:bookmarkEnd w:id="42"/>
      <w:bookmarkEnd w:id="43"/>
      <w:r w:rsidRPr="00941EE0">
        <w:rPr>
          <w:color w:val="000000" w:themeColor="text1"/>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 крім випадків, встановлених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44" w:name="n1119"/>
      <w:bookmarkStart w:id="45" w:name="n747"/>
      <w:bookmarkEnd w:id="44"/>
      <w:bookmarkEnd w:id="45"/>
      <w:r w:rsidRPr="00941EE0">
        <w:rPr>
          <w:color w:val="000000" w:themeColor="text1"/>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Фонду загальнообов’язкового державного соціального страхування України на випадок безробіття, крім випадків, встановлених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46" w:name="n1862"/>
      <w:bookmarkStart w:id="47" w:name="n748"/>
      <w:bookmarkEnd w:id="46"/>
      <w:bookmarkEnd w:id="47"/>
      <w:r w:rsidRPr="00941EE0">
        <w:rPr>
          <w:color w:val="000000" w:themeColor="text1"/>
        </w:rPr>
        <w:lastRenderedPageBreak/>
        <w:t>щодо юридичної особи, що припиняється в результаті ліквідації, стосовно якої надійшли відомості про відкрите виконавче провадження;</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48" w:name="n974"/>
      <w:bookmarkStart w:id="49" w:name="n749"/>
      <w:bookmarkEnd w:id="48"/>
      <w:bookmarkEnd w:id="49"/>
      <w:r w:rsidRPr="00941EE0">
        <w:rPr>
          <w:color w:val="000000" w:themeColor="text1"/>
        </w:rPr>
        <w:t>щодо юридичної особи, стосовно якої відкрито провадження у справі про банкрутство;</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50" w:name="n1078"/>
      <w:bookmarkEnd w:id="50"/>
      <w:r w:rsidRPr="00941EE0">
        <w:rPr>
          <w:color w:val="000000" w:themeColor="text1"/>
        </w:rPr>
        <w:t>12) 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51" w:name="n1077"/>
      <w:bookmarkStart w:id="52" w:name="n1592"/>
      <w:bookmarkEnd w:id="51"/>
      <w:bookmarkEnd w:id="52"/>
      <w:r w:rsidRPr="00941EE0">
        <w:rPr>
          <w:color w:val="000000" w:themeColor="text1"/>
        </w:rPr>
        <w:t>13) заяву про державну реєстрацію створення юридичної особи, державну реєстрацію включення відомостей про юридичну особу до Єдиного державного реєстру, державну реєстрацію змін до відомостей про юридичну особу, що містяться в Єдиному державному реєстрі, подано із зазначенням кінцевого бенефіціарного власника, який на день подання заяви згідно з відомостями реєстрів помер;</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53" w:name="n1591"/>
      <w:bookmarkStart w:id="54" w:name="n1807"/>
      <w:bookmarkEnd w:id="53"/>
      <w:bookmarkEnd w:id="54"/>
      <w:r w:rsidRPr="00941EE0">
        <w:rPr>
          <w:color w:val="000000" w:themeColor="text1"/>
        </w:rPr>
        <w:t>14) документи для державної реєстрації припинення відокремленого підрозділу юридичної особи, утвореної відповідно до законодавства іноземної держави, подані:</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55" w:name="n1808"/>
      <w:bookmarkEnd w:id="55"/>
      <w:r w:rsidRPr="00941EE0">
        <w:rPr>
          <w:color w:val="000000" w:themeColor="text1"/>
        </w:rPr>
        <w:t>раніше строку, встановленого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56" w:name="n1809"/>
      <w:bookmarkEnd w:id="56"/>
      <w:r w:rsidRPr="00941EE0">
        <w:rPr>
          <w:color w:val="000000" w:themeColor="text1"/>
        </w:rPr>
        <w:t>щодо відокремленого підрозділу юридичної особи, утвореної відповідно до законодавства іноземної держави, стосовно якого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57" w:name="n1806"/>
      <w:bookmarkStart w:id="58" w:name="n750"/>
      <w:bookmarkEnd w:id="57"/>
      <w:bookmarkEnd w:id="58"/>
      <w:r w:rsidRPr="00941EE0">
        <w:rPr>
          <w:color w:val="000000" w:themeColor="text1"/>
        </w:rPr>
        <w:t>2. Підстави для відмови у державній реєстрації фізичної особи - підприємця у разі подання заявником заяви у випадку, передбаченому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59" w:name="n1472"/>
      <w:bookmarkStart w:id="60" w:name="n751"/>
      <w:bookmarkEnd w:id="59"/>
      <w:bookmarkEnd w:id="60"/>
      <w:r w:rsidRPr="00941EE0">
        <w:rPr>
          <w:color w:val="000000" w:themeColor="text1"/>
        </w:rPr>
        <w:t>1) документи подано особою, яка не має на це повноважень;</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61" w:name="n752"/>
      <w:bookmarkEnd w:id="61"/>
      <w:r w:rsidRPr="00941EE0">
        <w:rPr>
          <w:color w:val="000000" w:themeColor="text1"/>
        </w:rPr>
        <w:t>2) у Єдиному державному реєстрі містяться відомості про судове рішення щодо заборони у проведенні реєстраційної дії;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62" w:name="n753"/>
      <w:bookmarkEnd w:id="62"/>
      <w:r w:rsidRPr="00941EE0">
        <w:rPr>
          <w:color w:val="000000" w:themeColor="text1"/>
        </w:rPr>
        <w:t>3) подання документів або відомостей, передбачених Законом, не в повному обсязі;</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63" w:name="n1473"/>
      <w:bookmarkStart w:id="64" w:name="n1224"/>
      <w:bookmarkEnd w:id="63"/>
      <w:bookmarkEnd w:id="64"/>
      <w:r w:rsidRPr="00941EE0">
        <w:rPr>
          <w:color w:val="000000" w:themeColor="text1"/>
        </w:rPr>
        <w:t>3</w:t>
      </w:r>
      <w:r w:rsidRPr="00941EE0">
        <w:rPr>
          <w:rStyle w:val="rvts37"/>
          <w:b/>
          <w:bCs/>
          <w:color w:val="000000" w:themeColor="text1"/>
          <w:sz w:val="2"/>
          <w:szCs w:val="2"/>
          <w:vertAlign w:val="superscript"/>
        </w:rPr>
        <w:t>-</w:t>
      </w:r>
      <w:r w:rsidRPr="00941EE0">
        <w:rPr>
          <w:rStyle w:val="rvts37"/>
          <w:b/>
          <w:bCs/>
          <w:color w:val="000000" w:themeColor="text1"/>
          <w:sz w:val="16"/>
          <w:szCs w:val="16"/>
          <w:vertAlign w:val="superscript"/>
        </w:rPr>
        <w:t>1</w:t>
      </w:r>
      <w:r w:rsidRPr="00941EE0">
        <w:rPr>
          <w:color w:val="000000" w:themeColor="text1"/>
        </w:rPr>
        <w:t>) документи подані до неналежного суб’єкта державної реєстрації;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65" w:name="n1223"/>
      <w:bookmarkStart w:id="66" w:name="n754"/>
      <w:bookmarkEnd w:id="65"/>
      <w:bookmarkEnd w:id="66"/>
      <w:r w:rsidRPr="00941EE0">
        <w:rPr>
          <w:color w:val="000000" w:themeColor="text1"/>
        </w:rPr>
        <w:t>4)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67" w:name="n1474"/>
      <w:bookmarkEnd w:id="67"/>
      <w:r w:rsidRPr="00941EE0">
        <w:rPr>
          <w:color w:val="000000" w:themeColor="text1"/>
        </w:rPr>
        <w:t>реєстрації, відомостям, що містяться в Єдиному державному реєстрі чи інших інформаційних системах, використання яких передбачено Законом;</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68" w:name="n1475"/>
      <w:bookmarkStart w:id="69" w:name="n1090"/>
      <w:bookmarkEnd w:id="68"/>
      <w:bookmarkEnd w:id="69"/>
      <w:r w:rsidRPr="00941EE0">
        <w:rPr>
          <w:color w:val="000000" w:themeColor="text1"/>
        </w:rPr>
        <w:t>6) подані документи суперечать вимогам законів України.</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70" w:name="n1091"/>
      <w:bookmarkStart w:id="71" w:name="n756"/>
      <w:bookmarkEnd w:id="70"/>
      <w:bookmarkEnd w:id="71"/>
      <w:r w:rsidRPr="00941EE0">
        <w:rPr>
          <w:color w:val="000000" w:themeColor="text1"/>
        </w:rPr>
        <w:t>3. Повідомлення про відмову у проведенні державної реєстрації повинно містити посилання на конкретну норму (пункт, статтю) законодавства із зазначенням, що саме порушено під час оформлення та подання документів, а також повинно бути зазначено, який саме пункт чи стаття поданого заявником документа (статуту, протоколу тощо) не відповідає нормам законодавства.</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72" w:name="n757"/>
      <w:bookmarkEnd w:id="72"/>
      <w:r w:rsidRPr="00941EE0">
        <w:rPr>
          <w:color w:val="000000" w:themeColor="text1"/>
        </w:rPr>
        <w:t>4. Відмова у державній реєстрації з підстав, не передбачених цією статтею, а також відмова у державній реєстрації створення професійної спілки, її організації або об’єднання не допускається.</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73" w:name="n1838"/>
      <w:bookmarkStart w:id="74" w:name="n758"/>
      <w:bookmarkStart w:id="75" w:name="n760"/>
      <w:bookmarkEnd w:id="73"/>
      <w:bookmarkEnd w:id="74"/>
      <w:bookmarkEnd w:id="75"/>
      <w:r w:rsidRPr="00941EE0">
        <w:rPr>
          <w:color w:val="000000" w:themeColor="text1"/>
        </w:rPr>
        <w:t xml:space="preserve">7. 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w:t>
      </w:r>
      <w:r w:rsidRPr="00941EE0">
        <w:rPr>
          <w:color w:val="000000" w:themeColor="text1"/>
        </w:rPr>
        <w:lastRenderedPageBreak/>
        <w:t>державній реєстрації розміщуються на порталі електронних сервісів або з використанням Єдиного державного вебпорталу електронних послуг у день відмови у державній реєстрації.</w:t>
      </w:r>
    </w:p>
    <w:p w:rsidR="004C4549" w:rsidRPr="00941EE0" w:rsidRDefault="004C4549" w:rsidP="004C4549">
      <w:pPr>
        <w:pStyle w:val="rvps2"/>
        <w:shd w:val="clear" w:color="auto" w:fill="FFFFFF"/>
        <w:spacing w:before="0" w:beforeAutospacing="0" w:after="150" w:afterAutospacing="0"/>
        <w:ind w:firstLine="450"/>
        <w:jc w:val="both"/>
        <w:rPr>
          <w:color w:val="000000" w:themeColor="text1"/>
        </w:rPr>
      </w:pPr>
      <w:bookmarkStart w:id="76" w:name="n1408"/>
      <w:bookmarkStart w:id="77" w:name="n761"/>
      <w:bookmarkEnd w:id="76"/>
      <w:bookmarkEnd w:id="77"/>
      <w:r w:rsidRPr="00941EE0">
        <w:rPr>
          <w:color w:val="000000" w:themeColor="text1"/>
        </w:rPr>
        <w:t>8.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1B51B0" w:rsidRPr="00941EE0" w:rsidRDefault="004C4549" w:rsidP="00941EE0">
      <w:pPr>
        <w:pStyle w:val="rvps2"/>
        <w:shd w:val="clear" w:color="auto" w:fill="FFFFFF"/>
        <w:spacing w:before="0" w:beforeAutospacing="0" w:after="150" w:afterAutospacing="0"/>
        <w:ind w:firstLine="450"/>
        <w:jc w:val="both"/>
        <w:rPr>
          <w:color w:val="000000" w:themeColor="text1"/>
        </w:rPr>
      </w:pPr>
      <w:bookmarkStart w:id="78" w:name="n762"/>
      <w:bookmarkEnd w:id="78"/>
      <w:r w:rsidRPr="00941EE0">
        <w:rPr>
          <w:color w:val="000000" w:themeColor="text1"/>
        </w:rPr>
        <w:t>9. Після усунення причин, що були підставою для відмови у державній реєстрації, заявник може повторно подати документи для державної реєстрації.</w:t>
      </w:r>
    </w:p>
    <w:sectPr w:rsidR="001B51B0" w:rsidRPr="00941EE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5E" w:rsidRDefault="0075415E" w:rsidP="00941EE0">
      <w:pPr>
        <w:spacing w:after="0" w:line="240" w:lineRule="auto"/>
      </w:pPr>
      <w:r>
        <w:separator/>
      </w:r>
    </w:p>
  </w:endnote>
  <w:endnote w:type="continuationSeparator" w:id="0">
    <w:p w:rsidR="0075415E" w:rsidRDefault="0075415E" w:rsidP="0094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477758"/>
      <w:docPartObj>
        <w:docPartGallery w:val="Page Numbers (Bottom of Page)"/>
        <w:docPartUnique/>
      </w:docPartObj>
    </w:sdtPr>
    <w:sdtEndPr/>
    <w:sdtContent>
      <w:p w:rsidR="00941EE0" w:rsidRDefault="00941EE0">
        <w:pPr>
          <w:pStyle w:val="a6"/>
          <w:jc w:val="center"/>
        </w:pPr>
        <w:r>
          <w:fldChar w:fldCharType="begin"/>
        </w:r>
        <w:r>
          <w:instrText>PAGE   \* MERGEFORMAT</w:instrText>
        </w:r>
        <w:r>
          <w:fldChar w:fldCharType="separate"/>
        </w:r>
        <w:r w:rsidR="00D52082" w:rsidRPr="00D52082">
          <w:rPr>
            <w:noProof/>
            <w:lang w:val="ru-RU"/>
          </w:rPr>
          <w:t>1</w:t>
        </w:r>
        <w:r>
          <w:fldChar w:fldCharType="end"/>
        </w:r>
      </w:p>
    </w:sdtContent>
  </w:sdt>
  <w:p w:rsidR="00941EE0" w:rsidRDefault="00941EE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5E" w:rsidRDefault="0075415E" w:rsidP="00941EE0">
      <w:pPr>
        <w:spacing w:after="0" w:line="240" w:lineRule="auto"/>
      </w:pPr>
      <w:r>
        <w:separator/>
      </w:r>
    </w:p>
  </w:footnote>
  <w:footnote w:type="continuationSeparator" w:id="0">
    <w:p w:rsidR="0075415E" w:rsidRDefault="0075415E" w:rsidP="00941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82"/>
    <w:rsid w:val="004C4549"/>
    <w:rsid w:val="005B3720"/>
    <w:rsid w:val="0075415E"/>
    <w:rsid w:val="00941EE0"/>
    <w:rsid w:val="00C12514"/>
    <w:rsid w:val="00C73BC7"/>
    <w:rsid w:val="00CC7782"/>
    <w:rsid w:val="00D52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48AE"/>
  <w15:chartTrackingRefBased/>
  <w15:docId w15:val="{E2D11171-0903-4F0D-9930-3EADFFB3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C45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C4549"/>
  </w:style>
  <w:style w:type="character" w:customStyle="1" w:styleId="rvts46">
    <w:name w:val="rvts46"/>
    <w:basedOn w:val="a0"/>
    <w:rsid w:val="004C4549"/>
  </w:style>
  <w:style w:type="character" w:styleId="a3">
    <w:name w:val="Hyperlink"/>
    <w:basedOn w:val="a0"/>
    <w:uiPriority w:val="99"/>
    <w:semiHidden/>
    <w:unhideWhenUsed/>
    <w:rsid w:val="004C4549"/>
    <w:rPr>
      <w:color w:val="0000FF"/>
      <w:u w:val="single"/>
    </w:rPr>
  </w:style>
  <w:style w:type="character" w:customStyle="1" w:styleId="rvts37">
    <w:name w:val="rvts37"/>
    <w:basedOn w:val="a0"/>
    <w:rsid w:val="004C4549"/>
  </w:style>
  <w:style w:type="character" w:customStyle="1" w:styleId="rvts11">
    <w:name w:val="rvts11"/>
    <w:basedOn w:val="a0"/>
    <w:rsid w:val="004C4549"/>
  </w:style>
  <w:style w:type="paragraph" w:styleId="a4">
    <w:name w:val="header"/>
    <w:basedOn w:val="a"/>
    <w:link w:val="a5"/>
    <w:uiPriority w:val="99"/>
    <w:unhideWhenUsed/>
    <w:rsid w:val="00941E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1EE0"/>
  </w:style>
  <w:style w:type="paragraph" w:styleId="a6">
    <w:name w:val="footer"/>
    <w:basedOn w:val="a"/>
    <w:link w:val="a7"/>
    <w:uiPriority w:val="99"/>
    <w:unhideWhenUsed/>
    <w:rsid w:val="00941E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1644-1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644-18" TargetMode="External"/><Relationship Id="rId11" Type="http://schemas.openxmlformats.org/officeDocument/2006/relationships/hyperlink" Target="https://zakon.rada.gov.ua/laws/show/4452-17" TargetMode="External"/><Relationship Id="rId5" Type="http://schemas.openxmlformats.org/officeDocument/2006/relationships/endnotes" Target="endnotes.xml"/><Relationship Id="rId10" Type="http://schemas.openxmlformats.org/officeDocument/2006/relationships/hyperlink" Target="https://zakon.rada.gov.ua/laws/show/254%D0%BA/96-%D0%B2%D1%80" TargetMode="External"/><Relationship Id="rId4" Type="http://schemas.openxmlformats.org/officeDocument/2006/relationships/footnotes" Target="footnotes.xml"/><Relationship Id="rId9" Type="http://schemas.openxmlformats.org/officeDocument/2006/relationships/hyperlink" Target="https://zakon.rada.gov.ua/laws/show/1644-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6639</Words>
  <Characters>3785</Characters>
  <Application>Microsoft Office Word</Application>
  <DocSecurity>0</DocSecurity>
  <Lines>31</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2025-09-01T08:06:00Z</dcterms:created>
  <dcterms:modified xsi:type="dcterms:W3CDTF">2025-09-03T11:54:00Z</dcterms:modified>
</cp:coreProperties>
</file>