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7E" w:rsidRPr="00887E77" w:rsidRDefault="00D2697E" w:rsidP="00D2697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u w:val="single"/>
        </w:rPr>
      </w:pPr>
      <w:r w:rsidRPr="00887E77">
        <w:rPr>
          <w:b/>
          <w:color w:val="333333"/>
          <w:sz w:val="28"/>
          <w:szCs w:val="28"/>
          <w:u w:val="single"/>
        </w:rPr>
        <w:t>Підстави для державної реєстрації прав</w:t>
      </w:r>
    </w:p>
    <w:p w:rsidR="00D2697E" w:rsidRPr="00D2697E" w:rsidRDefault="00D2697E" w:rsidP="00D2697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u w:val="single"/>
        </w:rPr>
      </w:pP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0" w:name="n296"/>
      <w:bookmarkEnd w:id="0"/>
      <w:r w:rsidRPr="004A7776">
        <w:rPr>
          <w:color w:val="000000" w:themeColor="text1"/>
          <w:sz w:val="28"/>
          <w:szCs w:val="28"/>
        </w:rPr>
        <w:t>1. Державна реєстрація права власності та інших речових прав проводиться на підставі: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" w:name="n685"/>
      <w:bookmarkStart w:id="2" w:name="n297"/>
      <w:bookmarkEnd w:id="1"/>
      <w:bookmarkEnd w:id="2"/>
      <w:r w:rsidRPr="004A7776">
        <w:rPr>
          <w:color w:val="000000" w:themeColor="text1"/>
          <w:sz w:val="28"/>
          <w:szCs w:val="28"/>
        </w:rPr>
        <w:t>1) укладеного в установленому законом порядку договору, предметом якого є нерухоме майно, об’єкт незавершеного будівництва або майбутній об’єкт нерухомості, речові права на які підлягають державній реєстрації, чи його дубліката;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" w:name="n1212"/>
      <w:bookmarkStart w:id="4" w:name="n298"/>
      <w:bookmarkEnd w:id="3"/>
      <w:bookmarkEnd w:id="4"/>
      <w:r w:rsidRPr="004A7776">
        <w:rPr>
          <w:color w:val="000000" w:themeColor="text1"/>
          <w:sz w:val="28"/>
          <w:szCs w:val="28"/>
        </w:rPr>
        <w:t>2) свідоцтва про право власності на частку у спільному майні подружжя у разі смерті одного з подружжя, виданого нотаріусом або консульською установою України, чи його дубліката;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5" w:name="n299"/>
      <w:bookmarkEnd w:id="5"/>
      <w:r w:rsidRPr="004A7776">
        <w:rPr>
          <w:color w:val="000000" w:themeColor="text1"/>
          <w:sz w:val="28"/>
          <w:szCs w:val="28"/>
        </w:rPr>
        <w:t>3) свідоцтва про право на спадщину, виданого нотаріусом або консульською установою України, чи його дубліката;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6" w:name="n300"/>
      <w:bookmarkEnd w:id="6"/>
      <w:r w:rsidRPr="004A7776">
        <w:rPr>
          <w:color w:val="000000" w:themeColor="text1"/>
          <w:sz w:val="28"/>
          <w:szCs w:val="28"/>
        </w:rPr>
        <w:t>4) виданого нотаріусом свідоцтва про придбання майна з прилюдних торгів (аукціонів) та свідоцтва про придбання майна з прилюдних торгів (аукціонів), якщо прилюдні торги (аукціони) не відбулися, чи їх дублікатів;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7" w:name="n301"/>
      <w:bookmarkEnd w:id="7"/>
      <w:r w:rsidRPr="004A7776">
        <w:rPr>
          <w:color w:val="000000" w:themeColor="text1"/>
          <w:sz w:val="28"/>
          <w:szCs w:val="28"/>
        </w:rPr>
        <w:t>5) свідоцтва про право власності, виданого органом приватизації наймачам житлових приміщень у державному та комунальному житловому фонді, чи його дубліката;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8" w:name="n302"/>
      <w:bookmarkEnd w:id="8"/>
      <w:r w:rsidRPr="004A7776">
        <w:rPr>
          <w:color w:val="000000" w:themeColor="text1"/>
          <w:sz w:val="28"/>
          <w:szCs w:val="28"/>
        </w:rPr>
        <w:t>6) свідоцтва про право власності на нерухоме майно, виданого до 1 січня 2013 року органом місцевого самоврядування або місцевою державною адміністрацією, чи його дубліката;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9" w:name="n603"/>
      <w:bookmarkStart w:id="10" w:name="n303"/>
      <w:bookmarkEnd w:id="9"/>
      <w:bookmarkEnd w:id="10"/>
      <w:r w:rsidRPr="004A7776">
        <w:rPr>
          <w:color w:val="000000" w:themeColor="text1"/>
          <w:sz w:val="28"/>
          <w:szCs w:val="28"/>
        </w:rPr>
        <w:t>7) рішення про закріплення нерухомого майна на праві оперативного управління чи господарського відання, прийнятого власником нерухомого майна чи особою, уповноваженою управляти таким майном;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1" w:name="n304"/>
      <w:bookmarkEnd w:id="11"/>
      <w:r w:rsidRPr="004A7776">
        <w:rPr>
          <w:color w:val="000000" w:themeColor="text1"/>
          <w:sz w:val="28"/>
          <w:szCs w:val="28"/>
        </w:rPr>
        <w:t xml:space="preserve">8) державного </w:t>
      </w:r>
      <w:proofErr w:type="spellStart"/>
      <w:r w:rsidRPr="004A7776">
        <w:rPr>
          <w:color w:val="000000" w:themeColor="text1"/>
          <w:sz w:val="28"/>
          <w:szCs w:val="28"/>
        </w:rPr>
        <w:t>акта</w:t>
      </w:r>
      <w:proofErr w:type="spellEnd"/>
      <w:r w:rsidRPr="004A7776">
        <w:rPr>
          <w:color w:val="000000" w:themeColor="text1"/>
          <w:sz w:val="28"/>
          <w:szCs w:val="28"/>
        </w:rPr>
        <w:t xml:space="preserve"> на право приватної власності на землю, державного </w:t>
      </w:r>
      <w:proofErr w:type="spellStart"/>
      <w:r w:rsidRPr="004A7776">
        <w:rPr>
          <w:color w:val="000000" w:themeColor="text1"/>
          <w:sz w:val="28"/>
          <w:szCs w:val="28"/>
        </w:rPr>
        <w:t>акта</w:t>
      </w:r>
      <w:proofErr w:type="spellEnd"/>
      <w:r w:rsidRPr="004A7776">
        <w:rPr>
          <w:color w:val="000000" w:themeColor="text1"/>
          <w:sz w:val="28"/>
          <w:szCs w:val="28"/>
        </w:rPr>
        <w:t xml:space="preserve"> на право власності на землю, державного </w:t>
      </w:r>
      <w:proofErr w:type="spellStart"/>
      <w:r w:rsidRPr="004A7776">
        <w:rPr>
          <w:color w:val="000000" w:themeColor="text1"/>
          <w:sz w:val="28"/>
          <w:szCs w:val="28"/>
        </w:rPr>
        <w:t>акта</w:t>
      </w:r>
      <w:proofErr w:type="spellEnd"/>
      <w:r w:rsidRPr="004A7776">
        <w:rPr>
          <w:color w:val="000000" w:themeColor="text1"/>
          <w:sz w:val="28"/>
          <w:szCs w:val="28"/>
        </w:rPr>
        <w:t xml:space="preserve"> на право власності на земельну ділянку або державного </w:t>
      </w:r>
      <w:proofErr w:type="spellStart"/>
      <w:r w:rsidRPr="004A7776">
        <w:rPr>
          <w:color w:val="000000" w:themeColor="text1"/>
          <w:sz w:val="28"/>
          <w:szCs w:val="28"/>
        </w:rPr>
        <w:t>акта</w:t>
      </w:r>
      <w:proofErr w:type="spellEnd"/>
      <w:r w:rsidRPr="004A7776">
        <w:rPr>
          <w:color w:val="000000" w:themeColor="text1"/>
          <w:sz w:val="28"/>
          <w:szCs w:val="28"/>
        </w:rPr>
        <w:t xml:space="preserve"> на право постійного користування землею, виданих до 1 січня 2013 року;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2" w:name="n305"/>
      <w:bookmarkEnd w:id="12"/>
      <w:r w:rsidRPr="004A7776">
        <w:rPr>
          <w:color w:val="000000" w:themeColor="text1"/>
          <w:sz w:val="28"/>
          <w:szCs w:val="28"/>
        </w:rPr>
        <w:t>9) судового рішення, що набрало законної сили, щодо набуття, зміни або припинення права власності та інших речових прав на нерухоме майно, об’єкт незавершеного будівництва, майбутній об’єкт нерухомості;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3" w:name="n852"/>
      <w:bookmarkStart w:id="14" w:name="n306"/>
      <w:bookmarkEnd w:id="13"/>
      <w:bookmarkEnd w:id="14"/>
      <w:r w:rsidRPr="004A7776">
        <w:rPr>
          <w:color w:val="000000" w:themeColor="text1"/>
          <w:sz w:val="28"/>
          <w:szCs w:val="28"/>
        </w:rPr>
        <w:t>10) ухвали суду про затвердження (визнання) мирової угоди;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5" w:name="n307"/>
      <w:bookmarkEnd w:id="15"/>
      <w:r w:rsidRPr="004A7776">
        <w:rPr>
          <w:color w:val="000000" w:themeColor="text1"/>
          <w:sz w:val="28"/>
          <w:szCs w:val="28"/>
        </w:rPr>
        <w:t>11) заповіту, яким установлено сервітут на нерухоме майно;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6" w:name="n308"/>
      <w:bookmarkEnd w:id="16"/>
      <w:r w:rsidRPr="004A7776">
        <w:rPr>
          <w:color w:val="000000" w:themeColor="text1"/>
          <w:sz w:val="28"/>
          <w:szCs w:val="28"/>
        </w:rPr>
        <w:t>12) рішення уповноваженого законом органу державної влади про повернення об’єкта нерухомого майна релігійній організації;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7" w:name="n309"/>
      <w:bookmarkEnd w:id="17"/>
      <w:r w:rsidRPr="004A7776">
        <w:rPr>
          <w:color w:val="000000" w:themeColor="text1"/>
          <w:sz w:val="28"/>
          <w:szCs w:val="28"/>
        </w:rPr>
        <w:t>13) рішення власника майна, уповноваженого ним органу про передачу об’єкта нерухомого майна, об’єкта незавершеного будівництва, майбутнього об’єкта нерухомості з державної у комунальну власність чи з комунальної у державну власність або з приватної у державну чи комунальну власність;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8" w:name="n1213"/>
      <w:bookmarkStart w:id="19" w:name="n714"/>
      <w:bookmarkEnd w:id="18"/>
      <w:bookmarkEnd w:id="19"/>
      <w:r w:rsidRPr="004A7776">
        <w:rPr>
          <w:color w:val="000000" w:themeColor="text1"/>
          <w:sz w:val="28"/>
          <w:szCs w:val="28"/>
        </w:rPr>
        <w:lastRenderedPageBreak/>
        <w:t>13</w:t>
      </w:r>
      <w:r w:rsidRPr="004A7776">
        <w:rPr>
          <w:rStyle w:val="rvts37"/>
          <w:b/>
          <w:bCs/>
          <w:color w:val="000000" w:themeColor="text1"/>
          <w:sz w:val="28"/>
          <w:szCs w:val="28"/>
          <w:vertAlign w:val="superscript"/>
        </w:rPr>
        <w:t>-1</w:t>
      </w:r>
      <w:r w:rsidRPr="004A7776">
        <w:rPr>
          <w:color w:val="000000" w:themeColor="text1"/>
          <w:sz w:val="28"/>
          <w:szCs w:val="28"/>
        </w:rPr>
        <w:t xml:space="preserve">) договору, яким встановлюється довірча власність на нерухоме майно, об’єкт незавершеного будівництва, майбутній об’єкт нерухомості, та </w:t>
      </w:r>
      <w:proofErr w:type="spellStart"/>
      <w:r w:rsidRPr="004A7776">
        <w:rPr>
          <w:color w:val="000000" w:themeColor="text1"/>
          <w:sz w:val="28"/>
          <w:szCs w:val="28"/>
        </w:rPr>
        <w:t>акта</w:t>
      </w:r>
      <w:proofErr w:type="spellEnd"/>
      <w:r w:rsidRPr="004A7776">
        <w:rPr>
          <w:color w:val="000000" w:themeColor="text1"/>
          <w:sz w:val="28"/>
          <w:szCs w:val="28"/>
        </w:rPr>
        <w:t xml:space="preserve"> приймання-передачі нерухомого майна, яке є об’єктом довірчої власності;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20" w:name="n713"/>
      <w:bookmarkStart w:id="21" w:name="n939"/>
      <w:bookmarkEnd w:id="20"/>
      <w:bookmarkEnd w:id="21"/>
      <w:r w:rsidRPr="004A7776">
        <w:rPr>
          <w:color w:val="000000" w:themeColor="text1"/>
          <w:sz w:val="28"/>
          <w:szCs w:val="28"/>
        </w:rPr>
        <w:t>13</w:t>
      </w:r>
      <w:r w:rsidRPr="004A7776">
        <w:rPr>
          <w:rStyle w:val="rvts37"/>
          <w:b/>
          <w:bCs/>
          <w:color w:val="000000" w:themeColor="text1"/>
          <w:sz w:val="28"/>
          <w:szCs w:val="28"/>
          <w:vertAlign w:val="superscript"/>
        </w:rPr>
        <w:t>-2</w:t>
      </w:r>
      <w:r w:rsidRPr="004A7776">
        <w:rPr>
          <w:color w:val="000000" w:themeColor="text1"/>
          <w:sz w:val="28"/>
          <w:szCs w:val="28"/>
        </w:rPr>
        <w:t>) актів приймання-передачі нерухомого майна, об’єкта незавершеного будівництва, майбутнього об’єкта нерухомості неплатоспроможного банку перехідному банку, що створюється відповідно до</w:t>
      </w:r>
      <w:hyperlink r:id="rId6" w:anchor="n499" w:tgtFrame="_blank" w:history="1">
        <w:r w:rsidRPr="004A7776">
          <w:rPr>
            <w:rStyle w:val="a3"/>
            <w:color w:val="000000" w:themeColor="text1"/>
            <w:sz w:val="28"/>
            <w:szCs w:val="28"/>
          </w:rPr>
          <w:t> статті 42 </w:t>
        </w:r>
      </w:hyperlink>
      <w:r w:rsidRPr="004A7776">
        <w:rPr>
          <w:color w:val="000000" w:themeColor="text1"/>
          <w:sz w:val="28"/>
          <w:szCs w:val="28"/>
        </w:rPr>
        <w:t>Закону України "Про систему гарантування вкладів фізичних осіб";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22" w:name="n940"/>
      <w:bookmarkStart w:id="23" w:name="n1322"/>
      <w:bookmarkEnd w:id="22"/>
      <w:bookmarkEnd w:id="23"/>
      <w:r w:rsidRPr="004A7776">
        <w:rPr>
          <w:color w:val="000000" w:themeColor="text1"/>
          <w:sz w:val="28"/>
          <w:szCs w:val="28"/>
        </w:rPr>
        <w:t>13</w:t>
      </w:r>
      <w:r w:rsidRPr="004A7776">
        <w:rPr>
          <w:rStyle w:val="rvts37"/>
          <w:b/>
          <w:bCs/>
          <w:color w:val="000000" w:themeColor="text1"/>
          <w:sz w:val="28"/>
          <w:szCs w:val="28"/>
          <w:vertAlign w:val="superscript"/>
        </w:rPr>
        <w:t>-3</w:t>
      </w:r>
      <w:r w:rsidRPr="004A7776">
        <w:rPr>
          <w:color w:val="000000" w:themeColor="text1"/>
          <w:sz w:val="28"/>
          <w:szCs w:val="28"/>
        </w:rPr>
        <w:t>) договору про передачу страхового портфеля;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24" w:name="n1321"/>
      <w:bookmarkStart w:id="25" w:name="n310"/>
      <w:bookmarkEnd w:id="24"/>
      <w:bookmarkEnd w:id="25"/>
      <w:r w:rsidRPr="004A7776">
        <w:rPr>
          <w:color w:val="000000" w:themeColor="text1"/>
          <w:sz w:val="28"/>
          <w:szCs w:val="28"/>
        </w:rPr>
        <w:t>14) інших документів, що відповідно до законодавства підтверджують набуття, зміну або припинення прав на нерухоме майно.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26" w:name="n311"/>
      <w:bookmarkEnd w:id="26"/>
      <w:r w:rsidRPr="004A7776">
        <w:rPr>
          <w:color w:val="000000" w:themeColor="text1"/>
          <w:sz w:val="28"/>
          <w:szCs w:val="28"/>
        </w:rPr>
        <w:t>2. Державна реєстрація обтяжень проводиться на підставі: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27" w:name="n312"/>
      <w:bookmarkEnd w:id="27"/>
      <w:r w:rsidRPr="004A7776">
        <w:rPr>
          <w:color w:val="000000" w:themeColor="text1"/>
          <w:sz w:val="28"/>
          <w:szCs w:val="28"/>
        </w:rPr>
        <w:t>1) судового рішення щодо набуття, зміни або припинення обтяження речових прав на нерухоме майно, об’єкт незавершеного будівництва, майбутній об’єкт нерухомості, що набрало законної сили, у тому числі постанови господарського суду у справі про банкрутство (неплатоспроможність) про визнання боржника банкрутом - щодо припинення всіх обтяжень прав на майно боржника (крім тих, які застосовано у кримінальному провадженні);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28" w:name="n853"/>
      <w:bookmarkStart w:id="29" w:name="n313"/>
      <w:bookmarkEnd w:id="28"/>
      <w:bookmarkEnd w:id="29"/>
      <w:r w:rsidRPr="004A7776">
        <w:rPr>
          <w:color w:val="000000" w:themeColor="text1"/>
          <w:sz w:val="28"/>
          <w:szCs w:val="28"/>
        </w:rPr>
        <w:t>2) рішення державного виконавця, приватного виконавця щодо обтяження речових прав на нерухоме майно, об’єкт незавершеного будівництва, майбутній об’єкт нерухомості;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0" w:name="n491"/>
      <w:bookmarkStart w:id="31" w:name="n314"/>
      <w:bookmarkEnd w:id="30"/>
      <w:bookmarkEnd w:id="31"/>
      <w:r w:rsidRPr="004A7776">
        <w:rPr>
          <w:color w:val="000000" w:themeColor="text1"/>
          <w:sz w:val="28"/>
          <w:szCs w:val="28"/>
        </w:rPr>
        <w:t>3) визначеного законодавством документа, на якому нотаріусом вчинено напис про накладення заборони щодо відчуження нерухомого майна, об’єкта незавершеного будівництва, майбутнього об’єкта нерухомості;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2" w:name="n1214"/>
      <w:bookmarkStart w:id="33" w:name="n315"/>
      <w:bookmarkEnd w:id="32"/>
      <w:bookmarkEnd w:id="33"/>
      <w:r w:rsidRPr="004A7776">
        <w:rPr>
          <w:color w:val="000000" w:themeColor="text1"/>
          <w:sz w:val="28"/>
          <w:szCs w:val="28"/>
        </w:rPr>
        <w:t>4) рішення органу місцевого самоврядування про віднесення об’єктів нерухомого майна до застарілого житлового фонду;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4" w:name="n316"/>
      <w:bookmarkEnd w:id="34"/>
      <w:r w:rsidRPr="004A7776">
        <w:rPr>
          <w:color w:val="000000" w:themeColor="text1"/>
          <w:sz w:val="28"/>
          <w:szCs w:val="28"/>
        </w:rPr>
        <w:t>5) договору, укладеного в порядку, визначеному законом, яким встановлюється обтяження речових прав на нерухоме майно, об’єкт незавершеного будівництва, майбутній об’єкт нер</w:t>
      </w:r>
      <w:bookmarkStart w:id="35" w:name="_GoBack"/>
      <w:bookmarkEnd w:id="35"/>
      <w:r w:rsidRPr="004A7776">
        <w:rPr>
          <w:color w:val="000000" w:themeColor="text1"/>
          <w:sz w:val="28"/>
          <w:szCs w:val="28"/>
        </w:rPr>
        <w:t>ухомості, чи його дубліката;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6" w:name="n1215"/>
      <w:bookmarkStart w:id="37" w:name="n1217"/>
      <w:bookmarkEnd w:id="36"/>
      <w:bookmarkEnd w:id="37"/>
      <w:r w:rsidRPr="004A7776">
        <w:rPr>
          <w:color w:val="000000" w:themeColor="text1"/>
          <w:sz w:val="28"/>
          <w:szCs w:val="28"/>
        </w:rPr>
        <w:t>5</w:t>
      </w:r>
      <w:r w:rsidRPr="004A7776">
        <w:rPr>
          <w:rStyle w:val="rvts37"/>
          <w:b/>
          <w:bCs/>
          <w:color w:val="000000" w:themeColor="text1"/>
          <w:sz w:val="28"/>
          <w:szCs w:val="28"/>
          <w:vertAlign w:val="superscript"/>
        </w:rPr>
        <w:t>-1</w:t>
      </w:r>
      <w:r w:rsidRPr="004A7776">
        <w:rPr>
          <w:color w:val="000000" w:themeColor="text1"/>
          <w:sz w:val="28"/>
          <w:szCs w:val="28"/>
        </w:rPr>
        <w:t>) договору купівлі-продажу неподільного об’єкта незавершеного будівництва/майбутнього об’єкта нерухомості (перший продаж), договору про участь у фонді фінансування будівництва, на виконання яких сплачено частково ціну майбутнього об’єкта нерухомості;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8" w:name="n1221"/>
      <w:bookmarkStart w:id="39" w:name="n1218"/>
      <w:bookmarkEnd w:id="38"/>
      <w:bookmarkEnd w:id="39"/>
      <w:r w:rsidRPr="004A7776">
        <w:rPr>
          <w:color w:val="000000" w:themeColor="text1"/>
          <w:sz w:val="28"/>
          <w:szCs w:val="28"/>
        </w:rPr>
        <w:t>5</w:t>
      </w:r>
      <w:r w:rsidRPr="004A7776">
        <w:rPr>
          <w:rStyle w:val="rvts37"/>
          <w:b/>
          <w:bCs/>
          <w:color w:val="000000" w:themeColor="text1"/>
          <w:sz w:val="28"/>
          <w:szCs w:val="28"/>
          <w:vertAlign w:val="superscript"/>
        </w:rPr>
        <w:t>-2</w:t>
      </w:r>
      <w:r w:rsidRPr="004A7776">
        <w:rPr>
          <w:color w:val="000000" w:themeColor="text1"/>
          <w:sz w:val="28"/>
          <w:szCs w:val="28"/>
        </w:rPr>
        <w:t>) заяви про первинну державну реєстрацію спеціального майнового права на всі майбутні об’єкти нерухомості, що є складовими частинами подільного об’єкта незавершеного будівництва, та обтяження речових прав на майбутні об’єкти нерухомості, включені до гарантійної частки;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40" w:name="n1220"/>
      <w:bookmarkStart w:id="41" w:name="n1219"/>
      <w:bookmarkEnd w:id="40"/>
      <w:bookmarkEnd w:id="41"/>
      <w:r w:rsidRPr="004A7776">
        <w:rPr>
          <w:color w:val="000000" w:themeColor="text1"/>
          <w:sz w:val="28"/>
          <w:szCs w:val="28"/>
        </w:rPr>
        <w:t>5</w:t>
      </w:r>
      <w:r w:rsidRPr="004A7776">
        <w:rPr>
          <w:rStyle w:val="rvts37"/>
          <w:b/>
          <w:bCs/>
          <w:color w:val="000000" w:themeColor="text1"/>
          <w:sz w:val="28"/>
          <w:szCs w:val="28"/>
          <w:vertAlign w:val="superscript"/>
        </w:rPr>
        <w:t>-3</w:t>
      </w:r>
      <w:r w:rsidRPr="004A7776">
        <w:rPr>
          <w:color w:val="000000" w:themeColor="text1"/>
          <w:sz w:val="28"/>
          <w:szCs w:val="28"/>
        </w:rPr>
        <w:t>) заяви про зміну гарантійної частки (у тому числі у зв’язку із зміною проектної документації на будівництво);</w:t>
      </w:r>
    </w:p>
    <w:p w:rsidR="00D2697E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42" w:name="n1216"/>
      <w:bookmarkStart w:id="43" w:name="n317"/>
      <w:bookmarkEnd w:id="42"/>
      <w:bookmarkEnd w:id="43"/>
      <w:r w:rsidRPr="004A7776">
        <w:rPr>
          <w:color w:val="000000" w:themeColor="text1"/>
          <w:sz w:val="28"/>
          <w:szCs w:val="28"/>
        </w:rPr>
        <w:t>6) закону, яким встановлено заборону користування та/або розпорядження нерухомим майном, об’єктом незавершеного будівництва, майбутнім об’єктом нерухомості;</w:t>
      </w:r>
    </w:p>
    <w:p w:rsidR="001B51B0" w:rsidRPr="004A7776" w:rsidRDefault="00D2697E" w:rsidP="00D2697E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44" w:name="n1222"/>
      <w:bookmarkStart w:id="45" w:name="n318"/>
      <w:bookmarkEnd w:id="44"/>
      <w:bookmarkEnd w:id="45"/>
      <w:r w:rsidRPr="004A7776">
        <w:rPr>
          <w:color w:val="000000" w:themeColor="text1"/>
          <w:sz w:val="28"/>
          <w:szCs w:val="28"/>
        </w:rPr>
        <w:t>7) інших актів органів державної влади та посадових осіб згідно із законом.</w:t>
      </w:r>
    </w:p>
    <w:sectPr w:rsidR="001B51B0" w:rsidRPr="004A7776" w:rsidSect="00D2697E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A8" w:rsidRDefault="00CC5AA8" w:rsidP="00D2697E">
      <w:pPr>
        <w:spacing w:after="0" w:line="240" w:lineRule="auto"/>
      </w:pPr>
      <w:r>
        <w:separator/>
      </w:r>
    </w:p>
  </w:endnote>
  <w:endnote w:type="continuationSeparator" w:id="0">
    <w:p w:rsidR="00CC5AA8" w:rsidRDefault="00CC5AA8" w:rsidP="00D2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2697E" w:rsidRPr="00D2697E" w:rsidRDefault="00D2697E">
        <w:pPr>
          <w:pStyle w:val="a6"/>
          <w:jc w:val="center"/>
          <w:rPr>
            <w:sz w:val="28"/>
            <w:szCs w:val="28"/>
          </w:rPr>
        </w:pPr>
        <w:r w:rsidRPr="00D2697E">
          <w:rPr>
            <w:sz w:val="28"/>
            <w:szCs w:val="28"/>
          </w:rPr>
          <w:fldChar w:fldCharType="begin"/>
        </w:r>
        <w:r w:rsidRPr="00D2697E">
          <w:rPr>
            <w:sz w:val="28"/>
            <w:szCs w:val="28"/>
          </w:rPr>
          <w:instrText>PAGE   \* MERGEFORMAT</w:instrText>
        </w:r>
        <w:r w:rsidRPr="00D2697E">
          <w:rPr>
            <w:sz w:val="28"/>
            <w:szCs w:val="28"/>
          </w:rPr>
          <w:fldChar w:fldCharType="separate"/>
        </w:r>
        <w:r w:rsidR="004A7776" w:rsidRPr="004A7776">
          <w:rPr>
            <w:noProof/>
            <w:sz w:val="28"/>
            <w:szCs w:val="28"/>
            <w:lang w:val="ru-RU"/>
          </w:rPr>
          <w:t>1</w:t>
        </w:r>
        <w:r w:rsidRPr="00D2697E">
          <w:rPr>
            <w:sz w:val="28"/>
            <w:szCs w:val="28"/>
          </w:rPr>
          <w:fldChar w:fldCharType="end"/>
        </w:r>
      </w:p>
    </w:sdtContent>
  </w:sdt>
  <w:p w:rsidR="00D2697E" w:rsidRDefault="00D26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A8" w:rsidRDefault="00CC5AA8" w:rsidP="00D2697E">
      <w:pPr>
        <w:spacing w:after="0" w:line="240" w:lineRule="auto"/>
      </w:pPr>
      <w:r>
        <w:separator/>
      </w:r>
    </w:p>
  </w:footnote>
  <w:footnote w:type="continuationSeparator" w:id="0">
    <w:p w:rsidR="00CC5AA8" w:rsidRDefault="00CC5AA8" w:rsidP="00D26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C2"/>
    <w:rsid w:val="004A7776"/>
    <w:rsid w:val="00585AC2"/>
    <w:rsid w:val="00887E77"/>
    <w:rsid w:val="00906151"/>
    <w:rsid w:val="00C12514"/>
    <w:rsid w:val="00C73BC7"/>
    <w:rsid w:val="00CC5AA8"/>
    <w:rsid w:val="00D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F9C73-5EA8-451A-9A8E-17278C84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697E"/>
  </w:style>
  <w:style w:type="character" w:customStyle="1" w:styleId="rvts46">
    <w:name w:val="rvts46"/>
    <w:basedOn w:val="a0"/>
    <w:rsid w:val="00D2697E"/>
  </w:style>
  <w:style w:type="character" w:styleId="a3">
    <w:name w:val="Hyperlink"/>
    <w:basedOn w:val="a0"/>
    <w:uiPriority w:val="99"/>
    <w:semiHidden/>
    <w:unhideWhenUsed/>
    <w:rsid w:val="00D2697E"/>
    <w:rPr>
      <w:color w:val="0000FF"/>
      <w:u w:val="single"/>
    </w:rPr>
  </w:style>
  <w:style w:type="character" w:customStyle="1" w:styleId="rvts37">
    <w:name w:val="rvts37"/>
    <w:basedOn w:val="a0"/>
    <w:rsid w:val="00D2697E"/>
  </w:style>
  <w:style w:type="character" w:customStyle="1" w:styleId="rvts11">
    <w:name w:val="rvts11"/>
    <w:basedOn w:val="a0"/>
    <w:rsid w:val="00D2697E"/>
  </w:style>
  <w:style w:type="paragraph" w:styleId="a4">
    <w:name w:val="header"/>
    <w:basedOn w:val="a"/>
    <w:link w:val="a5"/>
    <w:uiPriority w:val="99"/>
    <w:unhideWhenUsed/>
    <w:rsid w:val="00D2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97E"/>
  </w:style>
  <w:style w:type="paragraph" w:styleId="a6">
    <w:name w:val="footer"/>
    <w:basedOn w:val="a"/>
    <w:link w:val="a7"/>
    <w:uiPriority w:val="99"/>
    <w:unhideWhenUsed/>
    <w:rsid w:val="00D2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97E"/>
  </w:style>
  <w:style w:type="paragraph" w:styleId="a8">
    <w:name w:val="Balloon Text"/>
    <w:basedOn w:val="a"/>
    <w:link w:val="a9"/>
    <w:uiPriority w:val="99"/>
    <w:semiHidden/>
    <w:unhideWhenUsed/>
    <w:rsid w:val="0088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452-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3262</Words>
  <Characters>1860</Characters>
  <Application>Microsoft Office Word</Application>
  <DocSecurity>0</DocSecurity>
  <Lines>15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2025-03-03T13:09:00Z</cp:lastPrinted>
  <dcterms:created xsi:type="dcterms:W3CDTF">2025-03-03T13:06:00Z</dcterms:created>
  <dcterms:modified xsi:type="dcterms:W3CDTF">2025-08-26T06:34:00Z</dcterms:modified>
</cp:coreProperties>
</file>